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40EE3" w14:textId="3C6744A8" w:rsidR="007C5E83" w:rsidRPr="00E16192" w:rsidRDefault="007C5E83" w:rsidP="007C5E83">
      <w:pPr>
        <w:ind w:firstLine="708"/>
        <w:jc w:val="right"/>
        <w:rPr>
          <w:rFonts w:ascii="Garamond" w:hAnsi="Garamond" w:cs="Arial"/>
          <w:b/>
          <w:snapToGrid w:val="0"/>
        </w:rPr>
      </w:pPr>
      <w:r w:rsidRPr="00E16192">
        <w:rPr>
          <w:rFonts w:ascii="Garamond" w:hAnsi="Garamond" w:cs="Arial"/>
          <w:b/>
          <w:snapToGrid w:val="0"/>
        </w:rPr>
        <w:t>Nr sprawy</w:t>
      </w:r>
      <w:r w:rsidR="00245855">
        <w:rPr>
          <w:rFonts w:ascii="Garamond" w:hAnsi="Garamond" w:cs="Arial"/>
          <w:b/>
          <w:snapToGrid w:val="0"/>
        </w:rPr>
        <w:t>: ZP.271.1</w:t>
      </w:r>
      <w:r w:rsidR="003C1486">
        <w:rPr>
          <w:rFonts w:ascii="Garamond" w:hAnsi="Garamond" w:cs="Arial"/>
          <w:b/>
          <w:snapToGrid w:val="0"/>
        </w:rPr>
        <w:t>6</w:t>
      </w:r>
      <w:r w:rsidR="00245855">
        <w:rPr>
          <w:rFonts w:ascii="Garamond" w:hAnsi="Garamond" w:cs="Arial"/>
          <w:b/>
          <w:snapToGrid w:val="0"/>
        </w:rPr>
        <w:t>.2020</w:t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snapToGrid w:val="0"/>
        </w:rPr>
        <w:t xml:space="preserve">Załącznik nr </w:t>
      </w:r>
      <w:r w:rsidR="00245855">
        <w:rPr>
          <w:rFonts w:ascii="Garamond" w:hAnsi="Garamond" w:cs="Arial"/>
          <w:snapToGrid w:val="0"/>
        </w:rPr>
        <w:t>4/1</w:t>
      </w:r>
      <w:r w:rsidRPr="00E16192">
        <w:rPr>
          <w:rFonts w:ascii="Garamond" w:hAnsi="Garamond" w:cs="Arial"/>
          <w:snapToGrid w:val="0"/>
        </w:rPr>
        <w:t xml:space="preserve"> do SIWZ</w:t>
      </w:r>
    </w:p>
    <w:p w14:paraId="67D75EE9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C60F460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3E8BD7A6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D1CE9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15DCCDCE" w14:textId="2B99FA1D" w:rsidR="007C5E83" w:rsidRPr="00E16192" w:rsidRDefault="007C5E83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>.........................................................</w:t>
      </w:r>
    </w:p>
    <w:p w14:paraId="52D00AC9" w14:textId="77777777" w:rsidR="007C5E83" w:rsidRPr="00E16192" w:rsidRDefault="007C5E83" w:rsidP="00245855">
      <w:pPr>
        <w:spacing w:after="0" w:line="240" w:lineRule="auto"/>
        <w:ind w:left="12036" w:hanging="11610"/>
        <w:jc w:val="both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 xml:space="preserve">  </w:t>
      </w:r>
      <w:r>
        <w:rPr>
          <w:rFonts w:ascii="Garamond" w:hAnsi="Garamond" w:cs="Arial"/>
          <w:snapToGrid w:val="0"/>
        </w:rPr>
        <w:t xml:space="preserve"> </w:t>
      </w:r>
      <w:r w:rsidRPr="00E16192">
        <w:rPr>
          <w:rFonts w:ascii="Garamond" w:hAnsi="Garamond" w:cs="Arial"/>
          <w:snapToGrid w:val="0"/>
        </w:rPr>
        <w:t>(pieczęć adresowa Wykonawcy)</w:t>
      </w:r>
    </w:p>
    <w:p w14:paraId="123AAEA5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jc w:val="left"/>
        <w:rPr>
          <w:rFonts w:ascii="Arial" w:hAnsi="Arial" w:cs="Arial"/>
          <w:b w:val="0"/>
          <w:bCs w:val="0"/>
          <w:i/>
          <w:sz w:val="20"/>
        </w:rPr>
      </w:pPr>
    </w:p>
    <w:p w14:paraId="78EDC2BD" w14:textId="6C43EEB0" w:rsidR="007C5E83" w:rsidRPr="007C5E83" w:rsidRDefault="007C5E83" w:rsidP="007C5E83">
      <w:pPr>
        <w:jc w:val="center"/>
        <w:rPr>
          <w:rFonts w:ascii="Garamond" w:hAnsi="Garamond" w:cs="Arial"/>
          <w:b/>
          <w:bCs/>
          <w:sz w:val="28"/>
          <w:u w:val="single"/>
        </w:rPr>
      </w:pPr>
      <w:r w:rsidRPr="007C5E83">
        <w:rPr>
          <w:rFonts w:ascii="Garamond" w:hAnsi="Garamond" w:cs="Arial"/>
          <w:b/>
          <w:bCs/>
          <w:sz w:val="28"/>
          <w:u w:val="single"/>
        </w:rPr>
        <w:t>FORMULARZ CENOWY  - CZĘŚĆ I</w:t>
      </w:r>
    </w:p>
    <w:p w14:paraId="55DC39AB" w14:textId="3E9ADBE1" w:rsidR="007C5E83" w:rsidRPr="00947734" w:rsidRDefault="007C5E83" w:rsidP="009477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Garamond" w:hAnsi="Garamond" w:cs="Arial"/>
          <w:b w:val="0"/>
          <w:sz w:val="22"/>
          <w:szCs w:val="22"/>
        </w:rPr>
      </w:pPr>
      <w:r w:rsidRPr="00947734">
        <w:rPr>
          <w:rFonts w:ascii="Garamond" w:hAnsi="Garamond" w:cs="Arial"/>
          <w:b w:val="0"/>
          <w:sz w:val="22"/>
          <w:szCs w:val="22"/>
        </w:rPr>
        <w:t>Składając ofertę w postępowaniu prowadzonym w trybie przetargu nieograniczonego na</w:t>
      </w:r>
      <w:r w:rsidR="00947734" w:rsidRPr="00947734">
        <w:rPr>
          <w:rFonts w:ascii="Garamond" w:hAnsi="Garamond" w:cs="Arial"/>
          <w:b w:val="0"/>
          <w:sz w:val="22"/>
          <w:szCs w:val="22"/>
          <w:lang w:val="pl-PL"/>
        </w:rPr>
        <w:t xml:space="preserve"> 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d</w:t>
      </w:r>
      <w:r w:rsidR="00947734" w:rsidRPr="00947734">
        <w:rPr>
          <w:rFonts w:ascii="Garamond" w:hAnsi="Garamond"/>
          <w:i/>
          <w:iCs/>
          <w:sz w:val="22"/>
          <w:szCs w:val="22"/>
        </w:rPr>
        <w:t>ostaw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ę</w:t>
      </w:r>
      <w:r w:rsidR="00947734" w:rsidRPr="00947734">
        <w:rPr>
          <w:rFonts w:ascii="Garamond" w:hAnsi="Garamond"/>
          <w:i/>
          <w:iCs/>
          <w:sz w:val="22"/>
          <w:szCs w:val="22"/>
        </w:rPr>
        <w:t xml:space="preserve"> pomocy dydaktycznych i wyposażenia wraz z montażem do szkolnych pracowni w Szkole Podstawowej im. ks. Walentego Barczewskiego w Spręcowie w ramach projektu Innowacyjna SP Spręcowo – kreatywni uczniowie</w:t>
      </w:r>
      <w:r w:rsidR="003C1486">
        <w:rPr>
          <w:rFonts w:ascii="Garamond" w:hAnsi="Garamond"/>
          <w:i/>
          <w:iCs/>
          <w:sz w:val="22"/>
          <w:szCs w:val="22"/>
          <w:lang w:val="pl-PL"/>
        </w:rPr>
        <w:t xml:space="preserve"> – II postępowanie</w:t>
      </w:r>
      <w:r w:rsidRPr="00947734">
        <w:rPr>
          <w:rFonts w:ascii="Garamond" w:hAnsi="Garamond" w:cs="Arial"/>
          <w:b w:val="0"/>
          <w:sz w:val="22"/>
          <w:szCs w:val="22"/>
        </w:rPr>
        <w:t>, niniejszym oferuję wykonanie niżej wymienionego przedmiotu zamówienia za cenę:</w:t>
      </w:r>
    </w:p>
    <w:p w14:paraId="7C9D2BBC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851"/>
        <w:jc w:val="both"/>
        <w:rPr>
          <w:rFonts w:ascii="Arial" w:hAnsi="Arial" w:cs="Arial"/>
          <w:b w:val="0"/>
          <w:sz w:val="20"/>
          <w:lang w:val="pl-PL"/>
        </w:rPr>
      </w:pPr>
    </w:p>
    <w:tbl>
      <w:tblPr>
        <w:tblW w:w="1560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6"/>
        <w:gridCol w:w="568"/>
        <w:gridCol w:w="247"/>
        <w:gridCol w:w="4856"/>
        <w:gridCol w:w="1843"/>
        <w:gridCol w:w="709"/>
        <w:gridCol w:w="709"/>
        <w:gridCol w:w="1275"/>
        <w:gridCol w:w="1275"/>
        <w:gridCol w:w="1275"/>
        <w:gridCol w:w="19"/>
        <w:gridCol w:w="1543"/>
        <w:gridCol w:w="12"/>
      </w:tblGrid>
      <w:tr w:rsidR="0047438E" w:rsidRPr="0047438E" w14:paraId="5EB87CA7" w14:textId="77777777" w:rsidTr="0047438E">
        <w:trPr>
          <w:gridAfter w:val="1"/>
          <w:wAfter w:w="1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4182B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Lp.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FD41B" w14:textId="318BE9E1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Przedmiot zamówienia – pracownia językowa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B8E946" w14:textId="77777777" w:rsidR="0047438E" w:rsidRPr="0047438E" w:rsidRDefault="0047438E" w:rsidP="009C2DBC">
            <w:pPr>
              <w:snapToGrid w:val="0"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Dane umożliwiające</w:t>
            </w:r>
          </w:p>
          <w:p w14:paraId="31DA0320" w14:textId="09707E2E" w:rsidR="0047438E" w:rsidRPr="0047438E" w:rsidRDefault="0047438E" w:rsidP="009C2DBC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identyfikacje oferowanego asortymentu (nazwa producenta, oznaczenie handlowe, model. typ)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6B8F2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1D8FB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9EB85D" w14:textId="77777777" w:rsidR="0047438E" w:rsidRDefault="0047438E" w:rsidP="0047438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572C9FD1" w14:textId="77777777" w:rsidR="0047438E" w:rsidRDefault="0047438E" w:rsidP="0047438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59D50937" w14:textId="3113944A" w:rsidR="0047438E" w:rsidRPr="0047438E" w:rsidRDefault="0047438E" w:rsidP="0047438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netto</w:t>
            </w: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 w zł </w:t>
            </w:r>
          </w:p>
          <w:p w14:paraId="2A9B8674" w14:textId="77777777" w:rsidR="0047438E" w:rsidRP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A49FA3" w14:textId="77777777" w:rsid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5ADF90C8" w14:textId="77777777" w:rsid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40F0F22C" w14:textId="717F39FD" w:rsidR="0047438E" w:rsidRPr="0047438E" w:rsidRDefault="00E65949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sz w:val="18"/>
                <w:szCs w:val="18"/>
              </w:rPr>
              <w:t>P</w:t>
            </w:r>
            <w:r w:rsidR="0047438E">
              <w:rPr>
                <w:rFonts w:ascii="Garamond" w:hAnsi="Garamond" w:cs="Arial"/>
                <w:b/>
                <w:sz w:val="18"/>
                <w:szCs w:val="18"/>
              </w:rPr>
              <w:t>odat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e</w:t>
            </w:r>
            <w:r w:rsidR="0047438E">
              <w:rPr>
                <w:rFonts w:ascii="Garamond" w:hAnsi="Garamond" w:cs="Arial"/>
                <w:b/>
                <w:sz w:val="18"/>
                <w:szCs w:val="18"/>
              </w:rPr>
              <w:t>k VAT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DF072" w14:textId="5A927DCC" w:rsidR="0047438E" w:rsidRPr="0047438E" w:rsidRDefault="0047438E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Cena jednostkowa brutto w zł </w:t>
            </w:r>
          </w:p>
          <w:p w14:paraId="79308281" w14:textId="52C03D69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B8A92" w14:textId="77777777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Kwota brutto</w:t>
            </w:r>
          </w:p>
          <w:p w14:paraId="36CFD8AF" w14:textId="22A1093A" w:rsidR="0047438E" w:rsidRPr="0047438E" w:rsidRDefault="0047438E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(kol.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5</w:t>
            </w:r>
            <w:r w:rsidRPr="0047438E">
              <w:rPr>
                <w:rFonts w:ascii="Garamond" w:hAnsi="Garamond" w:cs="Arial"/>
                <w:b/>
                <w:sz w:val="18"/>
                <w:szCs w:val="18"/>
              </w:rPr>
              <w:t xml:space="preserve"> x 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8</w:t>
            </w:r>
            <w:r w:rsidRPr="0047438E">
              <w:rPr>
                <w:rFonts w:ascii="Garamond" w:hAnsi="Garamond" w:cs="Arial"/>
                <w:b/>
                <w:sz w:val="18"/>
                <w:szCs w:val="18"/>
              </w:rPr>
              <w:t>) w zł.</w:t>
            </w:r>
          </w:p>
        </w:tc>
      </w:tr>
      <w:tr w:rsidR="0047438E" w:rsidRPr="009C2DBC" w14:paraId="44190BEB" w14:textId="77777777" w:rsidTr="0047438E">
        <w:trPr>
          <w:gridAfter w:val="1"/>
          <w:wAfter w:w="1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2ECA8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9C2DB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8DC8A4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70CBA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00A8C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192" w14:textId="77777777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CCC3F7" w14:textId="4DC23560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B57807" w14:textId="2E869338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8E72C" w14:textId="27B7132E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09413F" w14:textId="61670500" w:rsidR="0047438E" w:rsidRPr="009C2DBC" w:rsidRDefault="0047438E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</w:tr>
      <w:tr w:rsidR="0047438E" w:rsidRPr="009C2DBC" w14:paraId="68485AAC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AFDEE" w14:textId="77777777" w:rsidR="0047438E" w:rsidRPr="009C2DBC" w:rsidRDefault="0047438E" w:rsidP="009E320F">
            <w:pPr>
              <w:pStyle w:val="Tekstpodstawowy"/>
              <w:numPr>
                <w:ilvl w:val="0"/>
                <w:numId w:val="1"/>
              </w:numPr>
              <w:tabs>
                <w:tab w:val="left" w:pos="303"/>
                <w:tab w:val="left" w:pos="360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8D8" w14:textId="6EC788E3" w:rsidR="0047438E" w:rsidRPr="00ED1CED" w:rsidRDefault="0047438E" w:rsidP="00ED1CED">
            <w:pPr>
              <w:rPr>
                <w:rFonts w:ascii="Garamond" w:hAnsi="Garamond" w:cs="Arial"/>
                <w:sz w:val="18"/>
                <w:szCs w:val="18"/>
              </w:rPr>
            </w:pPr>
            <w:r w:rsidRPr="00ED1CED">
              <w:rPr>
                <w:rFonts w:ascii="Garamond" w:hAnsi="Garamond" w:cs="Arial"/>
                <w:sz w:val="18"/>
                <w:szCs w:val="18"/>
              </w:rPr>
              <w:t>Sala językowa 2</w:t>
            </w:r>
            <w:r>
              <w:rPr>
                <w:rFonts w:ascii="Garamond" w:hAnsi="Garamond" w:cs="Arial"/>
                <w:sz w:val="18"/>
                <w:szCs w:val="18"/>
              </w:rPr>
              <w:t>0</w:t>
            </w:r>
            <w:r w:rsidRPr="00ED1CED">
              <w:rPr>
                <w:rFonts w:ascii="Garamond" w:hAnsi="Garamond" w:cs="Arial"/>
                <w:sz w:val="18"/>
                <w:szCs w:val="18"/>
              </w:rPr>
              <w:t xml:space="preserve"> osobowa z ławkami – sala stanowiskowa – kabinowa </w:t>
            </w:r>
            <w:r w:rsidRPr="00A10583">
              <w:rPr>
                <w:rFonts w:ascii="Garamond" w:hAnsi="Garamond" w:cs="Arial"/>
                <w:b/>
                <w:bCs/>
                <w:sz w:val="18"/>
                <w:szCs w:val="18"/>
              </w:rPr>
              <w:t>wraz z montażem</w:t>
            </w: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A2675" w14:textId="1304D6F5" w:rsidR="0047438E" w:rsidRPr="009E320F" w:rsidRDefault="0047438E" w:rsidP="007B6451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1. Jednostka centralna systemu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min. 2 niezależne wejścia sygnału audio z opcją dystrybuowania dźwięku z każdego wejścia do oddzielnej grupy (min. 2 grupy odsłuchują jednocześnie inny program), wejście słuchawkowe, 2 wyjścia audio;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wyjście na głośniki, wyjście nagrywania na komputer (rejestrator, magnetofon);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uruchamianie centralki za pomocą przełącznika on/off;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moduł USB do podłączenia komputera zgodny z USB 2.0;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wbudowany wzmacniacz min. 2x40 max, 4Ohm; 2x20 4ohm przy 1KHz,10%THD;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sterowanie mikroprocesorowe; dioda LED (lub pasek) wskazująca stan pracy; diody LED 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Rx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Tx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wskazujące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transmisje do i z komputera;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siły głosu w słuchawkach nauczyciela z poziomu jednostki centralnej (przyciski +/- lub potencjometr);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komplet dedykowanych przewodów audio i 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power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/data zgodnych z typami złącz sterownika;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2. Oprogramowanie sterujące PC-umożliwia obsługę pracowni z tablicy interaktywnej, z komputera;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3. Monitor dotykowy wbudowany do blatu biurka lektora.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Sterowanie klasopracownią za pomocą monitora dotykowego wbudowanego do blatu biurka nauczycielskiego.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Wielkość ekranu: min. 21”, rodzaj wyświetlacza: IPS TFT z podświetleniem W-LED, kontrast: 1000:1, rozdzielczość pracy: 1920 x 1080, 60 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, sygnał wejściowy: D-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Sub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, DVI-D, Display Port, panel dotykowy – PCT, żywotność przekracza 350 milionów dotknięć na 1 punkt, kontroler USB.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4. Oprogramowanie magnetofonu cyfrowego z trenerem wymowy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dwie ścieżki rejestratora dające możliwość jednoczesnego odsłuchiwania audycji i nagrywania głosu ucznia;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funkcja magnetofonu (wybór prędkości odtwarzania);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funkcja rejestratora (10 znaczników wyodrębniających część zapisu);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graficzne przedstawienie przebiegu dźwięku i porównanie z oryginałem - zapis wykresu oscyloskopowego wymawianego wyrazu/frazy;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5. Wysokiej jakości słuchawki z mikrofonem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słuchawki: impedancja 2x32Ω, czułość 110±3dB, częstotliwość 20~20000Hz, maksymalna moc wyjściowa 2x100mW, mikrofon: impedancja 1800Ω, czułość -48±3dB, częstotliwość 30~16000Hz;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trwałe, odporne na uszkodzenia mechaniczne, miękka, elastyczna obudowa, eliminujący szum otoczenia mikrofon kierunkowy na giętkim pałąku, duże nauszniki szczelnie kryjące ucho, wtyczka Jack 6,3mm;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6. Pulpit ucznia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przycisk zgłoszenia (przywołanie nauczyciela) - przyciśnięcie skutkuje widoczną, pulsacyjną zmianą graficzną w oknie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głównym programu na właściwej ikonie ucznia;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cyfrowa, 10 stopniowa regulacja siły głosu, za pomocą dwóch przycisków +/-, aktywowana przez nauczyciela, nie wymagająca dodatkowej ingerencji sprzętowej, pozwalająca regulować głośność w każdej chwili wg potrzeb ucznia;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wejście audio (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jack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3,5 mm) - pozwala na podłączenie rejestratora telefonu, tabletu, magnetofonu, komputera i odsłuch oraz dystrybucję odtwarzanego audio do lektora i pozostałych stanowisk;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wyjście audio (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jack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3,5 mm) - pozwala na podłączenie rejestratora cyfrowego, dyktafonu, magnetofonu, komputera i</w:t>
            </w:r>
            <w:r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nagrywanie dialogu prowadzonego z lektorem, w parze lub dyskusji w grupach roboczych, czy słyszanej audycji oraz własnego głosu;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komplet dedykowanych przewodów audio i 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power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/data zgodnych z typami złącz sterownika, wieszak na słuchawki;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Wejścia / wyjścia: 1 x 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jack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6,3mm, 2 x d-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sub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15pin, 2 x MOLEX 4 pin zasilanie i transmisja cyfrowa;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7. Głośnik montowany w blendzie biurka lektorskiego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system 2-drożny;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konfiguracja głośników nisko-tonowy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8. Wymagania dodatkowe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-ergonomiczne szeregowe połączenia (jednostka centralna łączy się z pierwszym pulpitem, a kolejne pomiędzy sobą);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gwarancja na pracownię minimum 60 miesięcy w tym na słuchawki;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nieodpłatne aktualizacje oprogramowania co najmniej przez okres gwarancji na pracownię;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dostarczenie z pracownią instrukcji w języku polskim;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Zamawiający wymaga, by oferowane w ramach pracowni językowej pulpity ucznia i lektora posiadały certyfikat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9. Opis oprogramowania lista uczniów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tworzenie klas i list uczniowskich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przypisywanie ucznia do danego stanowiska poprzez „przeciągnij i upuść”,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sortowanie list zarówno alfabetycznie jak i po numerze stanowiska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- ukrywanie/chowanie listy uczniów i klas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sprawdzanie obecności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obecni i nieobecni – rozróżnienie graficzne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obecni i nieobecni – program uwzględnia stanowiska nieaktywne sala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kolorystyczne rozróżnienie poszczególnych grup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/ wyłączenie wszystkich mikrofonów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/ wyłączenie wszystkich słuchawek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  <w:proofErr w:type="spellStart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Timer</w:t>
            </w:r>
            <w:proofErr w:type="spellEnd"/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 xml:space="preserve"> (minutnik) stanowisko ucznia – ikona Podstawowa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kolor tła – unikalny dla każdej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informacja do którego numeru grupy uczeń przynależy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informacja, czy mikrofon ucznia jest aktywny/nieaktywny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informacja czy słuchawki ucznia są aktywne/nieaktywne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numer stanowiska ucznia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imię i nazwisko ucznia stanowisko ucznia – ikona rozszerzona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mikrofonu ucznia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mikrofonu ucznia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słuchawek ucznia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słuchawek ucznia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głośności słuchawek ucznia- konwersacja indywidualna – przycisk automatycznego przeniesienia ucznia do prywatnej (wyłącznej) grupy z nauczycielem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zmiana (wybór) grupy do której dane stanowisko jest (ma być) przynależne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włączanie/wyłączanie mikrofonów całej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włączanie/wyłączanie słuchawek całej grupie nauczycielski podsłuch konwersacji wybranej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wybór źródła dźwięku, które ma być odtwarzane w danej grupie panel nauczyciela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dołączanie do wybranej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wybór źródła dźwięku, które ma być odtwarzane w danej grupie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odtwarzania dźwięku, które ma być odtwarzane wybranej grupie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mikrofonu lektora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mikrofonu lektora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- włączenie podsłuchu lektora (dioda zielona)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podsłuch lektora (dioda szara)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włączenie nagrywania konwersacji wybranej grupy (dioda czerwona)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wyłączenie nagrywania konwersacji wybranej grupy (dioda czerwona)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poziomu głośności słuchawek lektora tryby pracy,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tryb indywidualny – każde stanowisko stanowi osobną grupę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tryb wszyscy – wszystkie stanowiska znajdują się w jednej grupie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„inteligentny” algorytm generowania grupy, tak żeby nie zostały osoby bez grupy (nieobecności, „dzielenie z resztą”, itd..)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gr. pary – wszystkie stanowiska są dzielone na grupy dwuosobowe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gr. trójki – praca w grupach trzyosobowych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dwie grupy – podział na dwie równe grupy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trzy grupy – podział na trzy równe grupy wyjście dźwięku (głośnik zewnętrzny)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dystrybucja wybranego źródła audio na zewnętrzny głośnik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dystrybucja na zewn. głośnik wybranej (dowolnej) grupy - praca na forum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dystrybucja na zewn. głośnik wykładu lektora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poziomu głośności głośnika dodatkowe ustawienia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domyślny czas minutnika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globalne ustawienia głośności (dla słuchawek na wszystkich stanowiskach),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włącz/wyłącz diodę informującą ucznia o dołączeniu lektora do grupy, w której się znajduje (informacja o podsłuchu)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włącz/wyłącz możliwość regulacji głośności słuchawek ucznia z poziomu pulpitu ucznia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głośności nagrywania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definiowanie ilości wejść audio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Garamond" w:hAnsi="Garamond" w:cs="Arial"/>
                <w:sz w:val="18"/>
                <w:szCs w:val="18"/>
              </w:rPr>
              <w:t xml:space="preserve">-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możliwość przypisania nazw własnych poszczególnym wejściom audio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- regulacja głośności poszczególnych wejść audio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10. Biurko nauczycielskie.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Elementy wykonane z płyty wiórowej laminowanej gr. 18mm, blat grubości min. 18 mm, wykończenie grubą okleiną PCV (2 mm), blenda min. 50 cm wysokości, kanał kablowy między blatem a blendą, wymiary 150-160 cm x 75 cm, narożniki blatu zaoblone. Biurko powinno posiadać z prawej strony otwarte półki z wariantem wstawienia jednostki centralnej komputera, z prawej strony zamykaną szafkę na sprzęt elektroniczny.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11. Stolik uczniowski 2</w:t>
            </w:r>
            <w:r w:rsidR="00B96123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0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t>-stanowiskowy.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Ergonomiczny stolik uczniowski zapewniający uczniowi przyjęcie pozycji siedzącej skierowanej o kąt min. 15 stopni od osi sali w kierunku tablicy.  Elementy wykonane z płyty wiórowej laminowanej gr. 18 mm, blat grubości min. 18 mm, wykończenie grubą okleiną PCV (min. 2 mm), blenda min. 50 cm wysokości, kanał kablowy między blatem a blendą min 12cm x 12cm, przepusty kablowe, wymiary 120-130 cm x 50-60 cm, 59-76 cm.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12. Krzesło nauczyciela.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Krzesło nauczycielskie. Wzrost użytkownika 159 - 188 cm, 2. Wysokość siedziska 46 cm, Głębokość siedziska 40 cm, szerokość siedziska 42 cm, wysokość oparcia 48 cm, siedzisko i oparcie wykonane z tworzywa sztucznego - polietylen wysokociśnieniowy, kolor siedziska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 xml:space="preserve">charakteryzujący odpowiedni rozmiar zgodnie z normami, stelaż (nogi krzesła). Stelaż obrotowy standardowy, podłokietniki stałe w kolorze czarnym, podstawa krzesła w kolorze czarnym wykonana z PA oraz włókna szklanego (30%). Kolumna gazowa wykonana ze stali w kolorze czarnym. Kółka do podstawy krzesła wykonane z polipropylenu. Dodatkowo krzesło wyprodukowane w technologii rozdmuchu, umożliwiającej powstanie tzw. płaszcza termicznego, w tylnej części siedziska krzesło posiada miejsce do chwytu oraz miejsce do indywidualnego oznakowania. Krzesło wyprofilowane, wklęsło-wypukła forma pozwalająca na prawidłowe ułożenie kręgosłupa. Normy i standardy Certyfikat Zgodności z Normą PN-EN 1729-1:2007 Krzesło musi być przeznaczone dla instytucji edukacyjnych, 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lastRenderedPageBreak/>
              <w:t>zaprojektowane zgodnie z zasadami ergonomii, posiadające pozytywne opinie wiodących instytutów medycznych.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13. Krzesła uczniowskie (20 szt.)</w:t>
            </w:r>
            <w:r w:rsidRPr="003265A2"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  <w:br/>
              <w:t>Krzesło uczniowskie. Wzrost użytkownika 159 - 188 cm, 2. Wysokość siedziska 46 cm, Głębokość siedziska 40 cm, szerokość siedziska 42 cm, wysokość oparcia 48 cm, siedzisko i oparcie wykonane z tworzywa sztucznego - polietylen wysokociśnieniowy, kolor siedziska charakteryzujący odpowiedni rozmiar zgodnie z normami, stelaż (nogi krzesła). Nogi krzesła wykonano z profilu metalowego okrągłego o średnicy 22mm polakierowanego farbą proszkową. Krzesło posiada zatyczki chroniące przed zarysowaniem., Dodatkowo krzesło wyprodukowane w technologii rozdmuchu, umożliwiającej powstanie tzw. płaszcza termicznego, w tylnej części siedziska krzesło posiada miejsce do chwytu oraz miejsce do indywidualnego oznakowania. Krzesło wyprofilowane, wklęsło-wypukła forma pozwalająca na prawidłowe ułożenie kręgosłupa. Normy i standardy Certyfikat Zgodności z Normą PN-EN 1729-1:2007. Krzesło musi być przeznaczone dla instytucji edukacyjnych, zaprojektowane zgodnie z zasadami ergonomii, posiadające pozytywne opinie wiodących instytutów medycznych.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937F3" w14:textId="24F46D19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44B2F" w14:textId="3C7F564C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4FEC0" w14:textId="7C1E66F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5A14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7DE" w14:textId="2386B2A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9D3" w14:textId="2FCA6B8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7D5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……………</w:t>
            </w:r>
          </w:p>
        </w:tc>
      </w:tr>
      <w:tr w:rsidR="0047438E" w:rsidRPr="009C2DBC" w14:paraId="455C1A9B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B5F96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2FAD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Oprogramowanie do nauczania języka angielskiego I</w:t>
            </w:r>
          </w:p>
          <w:p w14:paraId="271ED4EF" w14:textId="421F914B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21CAE" w14:textId="52B5EF43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Multimedialny program edukacyjny, który służy do przećwiczenia i sprawdzenia wiadomości, jak i do doskonalenia języka angielskiego </w:t>
            </w:r>
            <w:r w:rsidRPr="00ED1CED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na poziomie szkoły podstawowej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. Zadania i ćwiczenia interaktywne z zakresu gramatyki języka angielskiego podzielone są na następujące działy tematyczne: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Części zdania i rzeczowniki – występowanie części w zdaniu, liczba mnoga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Zaimki – osobowe, dzierżawcze, nieokreślone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Czasowniki – czas teraźniejszy i czas przeszły prosty, czasowniki modalne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Przyimki i spójniki – połączenia przyimkowe, spójniki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Tworzenie pytań, odpowiedzi i negacji – zmiana szyku wyrazów, pytania uzupełniające, tworzenie negacji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Zasób słów – określanie czasu, stopniowanie przymiotników, słówka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Dyktanda – uzupełnianie liter i słów w zdaniach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 xml:space="preserve">Aplikacja umożliwia drukowanie zadań oraz testów, dzięki czemu 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istnieje możliwość rozwiązywania zadań poza komputerem. W ustawieniach każdego typu zadań można wybrać dowolną liczbę przykładów w zakresie od 10 do 30.Program jest łatwy w obsłudze i dzięki intuicyjnemu interfejsowi graficznemu orientacja w programie nie stanowi problemu, także dla dzieci. Tabele z wynikami dla każdego typu zadań informują o najlepszych uczestnikach. Wszystkie wyniki uzyskane przez uczniów wpisywane są do osobnego pliku, w którym jest zawarty rodzaj rozwiązywanego zadania, data, godzina, liczba poprawnych i błędnych odpowiedzi oraz ocena końcowa. Jest to oprogramowanie PC CD-ROM posiadające tzw. nieograniczoną czasowo szkolną licencję grupową z instalacją do wyboru: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20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40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sieciową maksymalnie na 60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Współpracuje ze wszystkimi typami tablic interaktywnych i platformami systemów operacyjnych takich jak Windows 7, Windows 8 i Windows 10.</w:t>
            </w:r>
          </w:p>
          <w:p w14:paraId="04A378EA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ADB0" w14:textId="4A60F4F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3231C" w14:textId="712A2EE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6D1C6" w14:textId="329DF48E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AD2F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06A" w14:textId="0DAF5C5A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249" w14:textId="02EDE56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5DB1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039E3C8F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B9FB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3B46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Oprogramowanie do nauczania języka angielskiego II</w:t>
            </w:r>
          </w:p>
          <w:p w14:paraId="425AAFC5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35EC8" w14:textId="25FCDCA3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Multimedialny program edukacyjny służy do przećwiczenia i sprawdzenia wiadomości w zakresie gramatyki języka angielskiego </w:t>
            </w:r>
            <w:r w:rsidRPr="00ED1CED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na poziomie szkoły podstawowej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Testy i ćwiczenia interaktywne podzielone są na następujące działy tematyczne: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Czasy angielskie – regularny i nieregularny czas przeszły, czas przyszły, czas teraźniejszy złożony, koniugacja i negacja czasowników modalnych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Następstwo czasów – mowa zależna, pytania nie wprost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Strony i okresy warunkowe – pierwszy i drugi okres warunkowy, strona czynna i bierna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Połączenia przyimkowe i czasowników – przyimki, połączenia imion i przyimków, połączenia czasowników z przyimkami, połączenia czasownik + bezokolicznik / -</w:t>
            </w:r>
            <w:proofErr w:type="spellStart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ing</w:t>
            </w:r>
            <w:proofErr w:type="spellEnd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Słownictwo – przedrostki przeczące, przyrostki, spójniki, słówka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Ortografia – pisanie apostrofów, poprawianie błędów w zdaniach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• Dyktanda – uzupełnij brakujące słowo, dyktanda całych zdań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 xml:space="preserve">Aplikacja umożliwia drukowanie ćwiczeń oraz testów, dzięki czemu istnieje możliwość rozwiązywania zadań poza komputerem. W ustawieniach każdego typu zadań można wybrać dowolną liczbę przykładów w zakresie od 10 do 30.Program jest łatwy w obsłudze i dzięki intuicyjnemu interfejsowi graficznemu orientacja w programie nie stanowi problemu, także dla dzieci. Tabele z wynikami dla 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każdego typu zadań informują o najlepszych uczestnikach. Wszystkie wyniki uzyskane przez uczniów wpisywane są do osobnego pliku, w którym jest zawarty rodzaj rozwiązywanego zadania, data, godzina, liczba poprawnych i błędnych odpowiedzi oraz ocena końcowa. Jest to oprogramowanie PC CD-ROM posiadające tzw. nieograniczoną czasowo szkolną licencję grupową z instalacją do wyboru: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20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pojedynczą lub sieciową maksymalnie na 40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- sieciową maksymalnie na 60 komputerach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Współpracuje ze wszystkimi typami tablic interaktywnych i platformami systemów operacyjnych takich jak Windows 7, Windows 8 i Windows 10.</w:t>
            </w:r>
          </w:p>
          <w:p w14:paraId="370649A5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5ED63" w14:textId="3C74EEBA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0BA1E" w14:textId="29982DCB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0F1DB" w14:textId="4E219BE3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C8C0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84F" w14:textId="32DEA3CD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3A0C" w14:textId="446AE9B9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FE1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32BD894B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0691A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D1C8" w14:textId="6A354925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0D55E5">
              <w:rPr>
                <w:rFonts w:ascii="Garamond" w:hAnsi="Garamond"/>
                <w:color w:val="000000"/>
                <w:sz w:val="18"/>
                <w:szCs w:val="18"/>
              </w:rPr>
              <w:t>Oprogramowanie do nauczania języka angielskiego III. Jako przykład zamawiający podaje produkt "Przygody detektywa Bartka" lub równoważny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38F37" w14:textId="77777777" w:rsidR="0047438E" w:rsidRPr="000D55E5" w:rsidRDefault="0047438E" w:rsidP="000D55E5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0D55E5">
              <w:rPr>
                <w:rFonts w:ascii="Garamond" w:hAnsi="Garamond" w:cs="Arial"/>
                <w:sz w:val="18"/>
                <w:szCs w:val="18"/>
              </w:rPr>
              <w:t>Program "Przygody detektywa Bartka" lub równoważny. Warunki równoważności:  multimedialny program edukacyjny przeznaczony dla dzieci, które uczą się języka angielskiego służący atrakcyjnemu przećwiczeniu zdobytej wiedzy i umiejętności. Możliwość ustawienia jednego z trzech zróżnicowanych poziomów trudności. Na każdym poziomie trudności istnieje możliwość wyboru konkretnego typu zadania, odpowiedniego do wiedzy i umiejętności danego gracza. Program z treścią fabularną, każda sytuacja na ekranie jest umiejscowiona do ilustrowanego otoczenia z różnych zakątków Anglii. Możliwość wykorzystania na tablicach interaktywnych. W ustawieniu gracza można wybrać jeden z trzech poziomów trudności – łatwy, średni lub trudny. Na każdym poziomie trudności istnieje możliwość wyboru konkretnego typu zadań, które są odpowiednie do wiedzy i umiejętności danego gracza. Program mogą wykorzystywać dzieci młodsze i starsze na obu etapach szkoły podstawowej. Aplikacja ma prostą obsługę i dzięki graficznemu interfejsowi orientacja w programie jest bezproblemowa. Oprogramowanie PC CD-ROM posiadające tzw. nieograniczoną czasowo szkolną licencję grupową, przeznaczony na minimum 20 stanowisk.</w:t>
            </w:r>
          </w:p>
          <w:p w14:paraId="2D35896B" w14:textId="088A05CE" w:rsidR="0047438E" w:rsidRPr="00ED1CED" w:rsidRDefault="0047438E" w:rsidP="000D55E5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0D55E5">
              <w:rPr>
                <w:rFonts w:ascii="Garamond" w:hAnsi="Garamond" w:cs="Arial"/>
                <w:sz w:val="18"/>
                <w:szCs w:val="18"/>
              </w:rPr>
              <w:t>Współpracuje ze wszystkimi typami tablic interaktywnych i platformami systemów operacyjnych takich jak Windows 7, Windows 8 i Windows 10.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89623" w14:textId="2C3EE276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48432" w14:textId="5A8DB794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6271" w14:textId="09C87D7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9282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8D43" w14:textId="5DA844B4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D57" w14:textId="7938513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48DA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43561D73" w14:textId="77777777" w:rsidTr="0047438E">
        <w:trPr>
          <w:gridAfter w:val="1"/>
          <w:wAfter w:w="12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3A824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B416FB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Laptop</w:t>
            </w:r>
          </w:p>
          <w:p w14:paraId="2B664DE3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49E80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przekątna ekranu: 14 - 15,6 cala, dysk SSD min 240 GB, Pamięć Ram min. 8 GB</w:t>
            </w:r>
          </w:p>
          <w:p w14:paraId="2FDE1DCA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C6CB05" w14:textId="08DA0AD4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673237" w14:textId="61FE208E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FE590C" w14:textId="592DC7B0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E19CE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618E0" w14:textId="62E1509A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FEF1" w14:textId="1E2AE955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35EBB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75417DFF" w14:textId="77777777" w:rsidTr="0047438E">
        <w:trPr>
          <w:gridAfter w:val="1"/>
          <w:wAfter w:w="12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094C4F" w14:textId="77777777" w:rsidR="0047438E" w:rsidRPr="009C2DBC" w:rsidRDefault="0047438E" w:rsidP="00ED1CED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9BE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Monitor interaktywny 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</w:r>
            <w:r w:rsidRPr="00ED1CED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lastRenderedPageBreak/>
              <w:t>z montażem</w:t>
            </w:r>
          </w:p>
          <w:p w14:paraId="02C162DF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CCCE1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>Przekątna ekranu 55", Rodzaj matrycy LED, Typ ekranu Dotykowy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Rozdzielczość ekranu 3840 x 2160 (UHD 4K)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Format obrazu 16:9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lastRenderedPageBreak/>
              <w:t xml:space="preserve">Częstotliwość odświeżania ekranu 60 </w:t>
            </w:r>
            <w:proofErr w:type="spellStart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Hz</w:t>
            </w:r>
            <w:proofErr w:type="spellEnd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Liczba wyświetlanych kolorów 1,07 mld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Jasność 300 cd/m²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Kontrast statyczny 4 000:1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Kąt widzenia w poziomie 178 stopni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Kąt widzenia w pionie 178 stopni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Złącza VGA (D-</w:t>
            </w:r>
            <w:proofErr w:type="spellStart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sub</w:t>
            </w:r>
            <w:proofErr w:type="spellEnd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) - 1 szt., HDMI - 2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 xml:space="preserve">Wejście Mini </w:t>
            </w:r>
            <w:proofErr w:type="spellStart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jack</w:t>
            </w:r>
            <w:proofErr w:type="spellEnd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 - 1 szt., Wyjście Mini </w:t>
            </w:r>
            <w:proofErr w:type="spellStart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>jack</w:t>
            </w:r>
            <w:proofErr w:type="spellEnd"/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t xml:space="preserve"> - 1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RJ-45 (LAN) - 1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USB 2.0 - 3 szt., USB 3.1 Gen. 1 (USB 3.0) - 1 szt., USB 2.0 - 1 szt. (do obsługi funkcji dotykowych), RS-232 - 1 szt., AC-in (wejście zasilania) - 1 szt.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Głośniki Tak,  Moc głośników 2 x 10W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Możliwość montażu na ścianie - VESA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Pobór mocy podczas pracy 250 W, Pobór mocy podczas spoczynku &lt; 0,5 W, Wbudowany HUB USB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Dołączone akcesoria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Skrócona instrukcja obsługi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Instrukcja bezpieczeństwa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Kabel zasilający, Kabel audio, Kabel VGA, Kabel HDMI, Kabel USB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Pilot, Rysik - 3 szt., Uchwyt ścienny</w:t>
            </w:r>
            <w:r w:rsidRPr="00ED1CED">
              <w:rPr>
                <w:rFonts w:ascii="Garamond" w:hAnsi="Garamond"/>
                <w:color w:val="000000"/>
                <w:sz w:val="18"/>
                <w:szCs w:val="18"/>
              </w:rPr>
              <w:br/>
              <w:t>Szerokość 1268 mm, Wysokość (z podstawą) 765 mm, Głębokość (z podstawą) 112 mm</w:t>
            </w:r>
          </w:p>
          <w:p w14:paraId="09297637" w14:textId="77777777" w:rsidR="0047438E" w:rsidRPr="00ED1CED" w:rsidRDefault="0047438E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AB544" w14:textId="32F20152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CAA5" w14:textId="2D6349EF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FDB9" w14:textId="78F2316F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E7CD" w14:textId="7777777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2D71" w14:textId="7B90E952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D9F" w14:textId="6F353B27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0750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7438E" w:rsidRPr="009C2DBC" w14:paraId="59C4EFFB" w14:textId="77777777" w:rsidTr="0047438E">
        <w:trPr>
          <w:trHeight w:val="283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97B2B" w14:textId="77777777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49E2AC" w14:textId="77777777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1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0BF9C5" w14:textId="0AF06470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  <w:p w14:paraId="1B1E73BC" w14:textId="77777777" w:rsidR="0047438E" w:rsidRDefault="0047438E" w:rsidP="00ED1CED">
            <w:pPr>
              <w:jc w:val="center"/>
              <w:rPr>
                <w:rFonts w:ascii="Garamond" w:hAnsi="Garamond" w:cs="Arial"/>
                <w:b/>
                <w:szCs w:val="20"/>
              </w:rPr>
            </w:pPr>
            <w:r w:rsidRPr="00611BA6">
              <w:rPr>
                <w:rFonts w:ascii="Garamond" w:hAnsi="Garamond" w:cs="Arial"/>
                <w:b/>
                <w:szCs w:val="20"/>
              </w:rPr>
              <w:t>Razem wartość oferty brutto (pozycje 1-</w:t>
            </w:r>
            <w:r>
              <w:rPr>
                <w:rFonts w:ascii="Garamond" w:hAnsi="Garamond" w:cs="Arial"/>
                <w:b/>
                <w:szCs w:val="20"/>
              </w:rPr>
              <w:t>6</w:t>
            </w:r>
            <w:r w:rsidRPr="00611BA6">
              <w:rPr>
                <w:rFonts w:ascii="Garamond" w:hAnsi="Garamond" w:cs="Arial"/>
                <w:b/>
                <w:szCs w:val="20"/>
              </w:rPr>
              <w:t>)</w:t>
            </w:r>
          </w:p>
          <w:p w14:paraId="5C55B31E" w14:textId="4B79CF9C" w:rsidR="0047438E" w:rsidRPr="009C2DBC" w:rsidRDefault="0047438E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7FCE" w14:textId="77777777" w:rsidR="0047438E" w:rsidRPr="009C2DBC" w:rsidRDefault="0047438E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0C870437" w14:textId="5E119715" w:rsidR="002402DA" w:rsidRDefault="00541F58"/>
    <w:p w14:paraId="246A9589" w14:textId="77777777" w:rsidR="00A10583" w:rsidRPr="002441DB" w:rsidRDefault="00A10583" w:rsidP="00A10583">
      <w:pPr>
        <w:rPr>
          <w:rFonts w:ascii="Garamond" w:hAnsi="Garamond" w:cs="Arial"/>
        </w:rPr>
      </w:pPr>
      <w:r w:rsidRPr="00A10583">
        <w:rPr>
          <w:rFonts w:ascii="Garamond" w:hAnsi="Garamond" w:cs="Arial"/>
          <w:bCs/>
        </w:rPr>
        <w:t xml:space="preserve">Razem </w:t>
      </w:r>
      <w:r w:rsidRPr="002441DB">
        <w:rPr>
          <w:rFonts w:ascii="Garamond" w:hAnsi="Garamond" w:cs="Arial"/>
        </w:rPr>
        <w:t>słownie: .............................................................................................................................. złotych brutto</w:t>
      </w:r>
    </w:p>
    <w:p w14:paraId="58A8E267" w14:textId="77777777" w:rsidR="00A10583" w:rsidRPr="002441DB" w:rsidRDefault="00A10583" w:rsidP="00A10583">
      <w:pPr>
        <w:spacing w:line="360" w:lineRule="auto"/>
        <w:ind w:right="-455"/>
        <w:rPr>
          <w:rFonts w:ascii="Garamond" w:hAnsi="Garamond" w:cs="Arial"/>
        </w:rPr>
      </w:pPr>
      <w:r w:rsidRPr="002441DB">
        <w:rPr>
          <w:rFonts w:ascii="Garamond" w:hAnsi="Garamond" w:cs="Arial"/>
        </w:rPr>
        <w:t>Zastosowano stawkę podatku VAT ……….</w:t>
      </w:r>
      <w:r>
        <w:rPr>
          <w:rFonts w:ascii="Garamond" w:hAnsi="Garamond" w:cs="Arial"/>
        </w:rPr>
        <w:t xml:space="preserve"> </w:t>
      </w:r>
      <w:r w:rsidRPr="002441DB">
        <w:rPr>
          <w:rFonts w:ascii="Garamond" w:hAnsi="Garamond" w:cs="Arial"/>
        </w:rPr>
        <w:t>%.</w:t>
      </w:r>
    </w:p>
    <w:p w14:paraId="1005B3E5" w14:textId="77777777" w:rsidR="00A10583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</w:p>
    <w:p w14:paraId="45D30BD1" w14:textId="77777777" w:rsidR="00A10583" w:rsidRPr="002441DB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  <w:r w:rsidRPr="002441DB">
        <w:rPr>
          <w:rFonts w:ascii="Garamond" w:hAnsi="Garamond" w:cs="Arial"/>
          <w:sz w:val="20"/>
          <w:lang w:eastAsia="ar-SA"/>
        </w:rPr>
        <w:t>.......................dnia ………………….</w:t>
      </w:r>
      <w:r>
        <w:rPr>
          <w:rFonts w:ascii="Garamond" w:hAnsi="Garamond" w:cs="Arial"/>
          <w:sz w:val="20"/>
          <w:lang w:eastAsia="ar-SA"/>
        </w:rPr>
        <w:t xml:space="preserve"> </w:t>
      </w:r>
      <w:r w:rsidRPr="002441DB">
        <w:rPr>
          <w:rFonts w:ascii="Garamond" w:hAnsi="Garamond" w:cs="Arial"/>
          <w:sz w:val="20"/>
          <w:lang w:eastAsia="ar-SA"/>
        </w:rPr>
        <w:t>2020 r.</w:t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  <w:t xml:space="preserve">  </w:t>
      </w:r>
    </w:p>
    <w:p w14:paraId="4C793089" w14:textId="77777777" w:rsidR="00A10583" w:rsidRPr="002441DB" w:rsidRDefault="00A10583" w:rsidP="00A10583">
      <w:pPr>
        <w:suppressAutoHyphens/>
        <w:spacing w:after="0" w:line="240" w:lineRule="auto"/>
        <w:ind w:left="9204"/>
        <w:rPr>
          <w:rFonts w:ascii="Arial" w:hAnsi="Arial" w:cs="Arial"/>
          <w:i/>
          <w:sz w:val="14"/>
          <w:szCs w:val="14"/>
          <w:lang w:eastAsia="ar-SA"/>
        </w:rPr>
      </w:pPr>
      <w:r w:rsidRPr="002441DB">
        <w:rPr>
          <w:rFonts w:ascii="Garamond" w:hAnsi="Garamond" w:cs="Arial"/>
          <w:i/>
          <w:sz w:val="20"/>
        </w:rPr>
        <w:lastRenderedPageBreak/>
        <w:t xml:space="preserve">                                                                                    </w:t>
      </w:r>
      <w:r w:rsidRPr="002441DB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..............................................................................................................</w:t>
      </w:r>
    </w:p>
    <w:p w14:paraId="6047C8EA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</w:t>
      </w:r>
      <w:r w:rsidRPr="002441DB">
        <w:rPr>
          <w:rFonts w:ascii="Garamond" w:hAnsi="Garamond" w:cs="Arial"/>
          <w:i/>
          <w:sz w:val="16"/>
          <w:szCs w:val="16"/>
        </w:rPr>
        <w:t xml:space="preserve">   </w:t>
      </w:r>
      <w:r>
        <w:rPr>
          <w:rFonts w:ascii="Garamond" w:hAnsi="Garamond" w:cs="Arial"/>
          <w:i/>
          <w:sz w:val="16"/>
          <w:szCs w:val="16"/>
        </w:rPr>
        <w:t xml:space="preserve">          </w:t>
      </w:r>
      <w:r w:rsidRPr="002441DB">
        <w:rPr>
          <w:rFonts w:ascii="Garamond" w:hAnsi="Garamond" w:cs="Arial"/>
          <w:i/>
          <w:sz w:val="16"/>
          <w:szCs w:val="16"/>
        </w:rPr>
        <w:t>(pieczęć imienna i podpis osób/osoby uprawnionej do reprezentowania</w:t>
      </w:r>
    </w:p>
    <w:p w14:paraId="3CF3AE59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          </w:t>
      </w:r>
      <w:r w:rsidRPr="002441DB">
        <w:rPr>
          <w:rFonts w:ascii="Garamond" w:hAnsi="Garamond" w:cs="Arial"/>
          <w:i/>
          <w:sz w:val="16"/>
          <w:szCs w:val="16"/>
        </w:rPr>
        <w:t>Wykonawcy i</w:t>
      </w:r>
      <w:r>
        <w:rPr>
          <w:rFonts w:ascii="Garamond" w:hAnsi="Garamond" w:cs="Arial"/>
          <w:i/>
          <w:sz w:val="16"/>
          <w:szCs w:val="16"/>
        </w:rPr>
        <w:t xml:space="preserve"> </w:t>
      </w:r>
      <w:r w:rsidRPr="002441DB">
        <w:rPr>
          <w:rFonts w:ascii="Garamond" w:hAnsi="Garamond" w:cs="Arial"/>
          <w:i/>
          <w:sz w:val="16"/>
          <w:szCs w:val="16"/>
        </w:rPr>
        <w:t>składania oświadczeń woli w jego imieniu)</w:t>
      </w:r>
    </w:p>
    <w:p w14:paraId="6B74510A" w14:textId="77777777" w:rsidR="00A10583" w:rsidRPr="002441DB" w:rsidRDefault="00A10583" w:rsidP="00A10583">
      <w:pPr>
        <w:suppressAutoHyphens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</w:p>
    <w:p w14:paraId="6855DC20" w14:textId="7FFF87F7" w:rsidR="00A10583" w:rsidRDefault="00A10583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20CD757C" w14:textId="77777777" w:rsidR="00541F58" w:rsidRDefault="00541F58" w:rsidP="00C207DC">
      <w:pPr>
        <w:pStyle w:val="Akapitzlist"/>
        <w:ind w:left="142" w:hanging="142"/>
        <w:rPr>
          <w:rFonts w:ascii="Garamond" w:hAnsi="Garamond" w:cs="Calibri"/>
          <w:b/>
          <w:bCs/>
          <w:sz w:val="24"/>
          <w:szCs w:val="24"/>
          <w:vertAlign w:val="superscript"/>
        </w:rPr>
      </w:pPr>
      <w:r w:rsidRPr="00541F58">
        <w:rPr>
          <w:rFonts w:ascii="Garamond" w:hAnsi="Garamond" w:cs="Calibri"/>
          <w:b/>
          <w:bCs/>
          <w:sz w:val="24"/>
          <w:szCs w:val="24"/>
        </w:rPr>
        <w:t>UWAGA!!!!</w:t>
      </w:r>
      <w:r>
        <w:rPr>
          <w:rFonts w:ascii="Garamond" w:hAnsi="Garamond" w:cs="Calibri"/>
          <w:b/>
          <w:bCs/>
          <w:sz w:val="24"/>
          <w:szCs w:val="24"/>
          <w:vertAlign w:val="superscript"/>
        </w:rPr>
        <w:t xml:space="preserve"> </w:t>
      </w:r>
    </w:p>
    <w:p w14:paraId="7A6589F6" w14:textId="1584C02F" w:rsidR="00A10583" w:rsidRPr="005E7F71" w:rsidRDefault="00541F58" w:rsidP="00541F58">
      <w:pPr>
        <w:pStyle w:val="Akapitzlist"/>
        <w:ind w:left="0"/>
        <w:rPr>
          <w:b/>
          <w:bCs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</w:rPr>
        <w:t>J</w:t>
      </w:r>
      <w:r w:rsidR="005E7F71" w:rsidRPr="005E7F71">
        <w:rPr>
          <w:rFonts w:ascii="Garamond" w:hAnsi="Garamond" w:cs="Calibri"/>
          <w:b/>
          <w:bCs/>
          <w:sz w:val="24"/>
          <w:szCs w:val="24"/>
        </w:rPr>
        <w:t>eżeli Wykonawc</w:t>
      </w:r>
      <w:r w:rsidR="0067222E">
        <w:rPr>
          <w:rFonts w:ascii="Garamond" w:hAnsi="Garamond" w:cs="Calibri"/>
          <w:b/>
          <w:bCs/>
          <w:sz w:val="24"/>
          <w:szCs w:val="24"/>
        </w:rPr>
        <w:t>a oferuje asortyment równoważny do opisanego przez Zamawiającego należy załączyć</w:t>
      </w:r>
      <w:r w:rsidR="005E7F71" w:rsidRPr="005E7F71">
        <w:rPr>
          <w:rFonts w:ascii="Garamond" w:hAnsi="Garamond" w:cs="Calibri"/>
          <w:b/>
          <w:bCs/>
          <w:sz w:val="24"/>
          <w:szCs w:val="24"/>
        </w:rPr>
        <w:t xml:space="preserve"> opis oferowanych produktów równoważnych</w:t>
      </w:r>
    </w:p>
    <w:sectPr w:rsidR="00A10583" w:rsidRPr="005E7F71" w:rsidSect="000D55E5">
      <w:headerReference w:type="default" r:id="rId8"/>
      <w:footerReference w:type="default" r:id="rId9"/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19822" w14:textId="77777777" w:rsidR="00245855" w:rsidRDefault="00245855" w:rsidP="00245855">
      <w:pPr>
        <w:spacing w:after="0" w:line="240" w:lineRule="auto"/>
      </w:pPr>
      <w:r>
        <w:separator/>
      </w:r>
    </w:p>
  </w:endnote>
  <w:endnote w:type="continuationSeparator" w:id="0">
    <w:p w14:paraId="36384A22" w14:textId="77777777" w:rsidR="00245855" w:rsidRDefault="00245855" w:rsidP="002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244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11E7D7" w14:textId="77777777" w:rsidR="00C538CD" w:rsidRPr="00C538CD" w:rsidRDefault="009E320F" w:rsidP="009E320F">
        <w:pPr>
          <w:pStyle w:val="Stopka"/>
          <w:ind w:firstLine="1416"/>
          <w:jc w:val="right"/>
          <w:rPr>
            <w:sz w:val="16"/>
            <w:szCs w:val="16"/>
          </w:rPr>
        </w:pPr>
        <w:r>
          <w:t xml:space="preserve">    </w:t>
        </w:r>
        <w:r>
          <w:tab/>
        </w:r>
        <w:r w:rsidR="00C538CD" w:rsidRPr="00C538CD">
          <w:rPr>
            <w:sz w:val="16"/>
            <w:szCs w:val="16"/>
          </w:rPr>
          <w:fldChar w:fldCharType="begin"/>
        </w:r>
        <w:r w:rsidR="00C538CD" w:rsidRPr="00C538CD">
          <w:rPr>
            <w:sz w:val="16"/>
            <w:szCs w:val="16"/>
          </w:rPr>
          <w:instrText>PAGE   \* MERGEFORMAT</w:instrText>
        </w:r>
        <w:r w:rsidR="00C538CD" w:rsidRPr="00C538CD">
          <w:rPr>
            <w:sz w:val="16"/>
            <w:szCs w:val="16"/>
          </w:rPr>
          <w:fldChar w:fldCharType="separate"/>
        </w:r>
        <w:r w:rsidR="00C538CD" w:rsidRPr="00C538CD">
          <w:rPr>
            <w:sz w:val="16"/>
            <w:szCs w:val="16"/>
          </w:rPr>
          <w:t>2</w:t>
        </w:r>
        <w:r w:rsidR="00C538CD" w:rsidRPr="00C538CD">
          <w:rPr>
            <w:sz w:val="16"/>
            <w:szCs w:val="16"/>
          </w:rPr>
          <w:fldChar w:fldCharType="end"/>
        </w:r>
      </w:p>
    </w:sdtContent>
  </w:sdt>
  <w:p w14:paraId="0D4A2DF2" w14:textId="77777777" w:rsidR="00C538CD" w:rsidRDefault="00C53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0A695" w14:textId="77777777" w:rsidR="00245855" w:rsidRDefault="00245855" w:rsidP="00245855">
      <w:pPr>
        <w:spacing w:after="0" w:line="240" w:lineRule="auto"/>
      </w:pPr>
      <w:r>
        <w:separator/>
      </w:r>
    </w:p>
  </w:footnote>
  <w:footnote w:type="continuationSeparator" w:id="0">
    <w:p w14:paraId="2AF27940" w14:textId="77777777" w:rsidR="00245855" w:rsidRDefault="00245855" w:rsidP="0024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467" w:type="dxa"/>
      <w:jc w:val="center"/>
      <w:tblLayout w:type="fixed"/>
      <w:tblLook w:val="0000" w:firstRow="0" w:lastRow="0" w:firstColumn="0" w:lastColumn="0" w:noHBand="0" w:noVBand="0"/>
    </w:tblPr>
    <w:tblGrid>
      <w:gridCol w:w="5812"/>
      <w:gridCol w:w="4253"/>
      <w:gridCol w:w="3402"/>
    </w:tblGrid>
    <w:tr w:rsidR="00245855" w14:paraId="036FFFB9" w14:textId="77777777" w:rsidTr="00245855">
      <w:trPr>
        <w:trHeight w:val="926"/>
        <w:jc w:val="center"/>
      </w:trPr>
      <w:tc>
        <w:tcPr>
          <w:tcW w:w="5812" w:type="dxa"/>
          <w:shd w:val="clear" w:color="auto" w:fill="auto"/>
        </w:tcPr>
        <w:p w14:paraId="4232089F" w14:textId="009065DC" w:rsidR="00245855" w:rsidRDefault="00245855" w:rsidP="00245855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19FA375B" wp14:editId="28CE7EA3">
                <wp:extent cx="1123950" cy="581025"/>
                <wp:effectExtent l="0" t="0" r="0" b="9525"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56" r="-29" b="-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81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</w:t>
          </w:r>
          <w:r>
            <w:rPr>
              <w:noProof/>
            </w:rPr>
            <w:drawing>
              <wp:inline distT="0" distB="0" distL="0" distR="0" wp14:anchorId="2F2A4AA4" wp14:editId="1877092F">
                <wp:extent cx="1552575" cy="514350"/>
                <wp:effectExtent l="0" t="0" r="9525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3" t="-189" r="-63" b="-1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</w:tcPr>
        <w:p w14:paraId="1481989A" w14:textId="67C2CD24" w:rsidR="00245855" w:rsidRDefault="00245855" w:rsidP="00245855">
          <w:pPr>
            <w:pStyle w:val="Nagwek"/>
            <w:jc w:val="center"/>
            <w:rPr>
              <w:lang w:eastAsia="pl-PL"/>
            </w:rPr>
          </w:pPr>
          <w:r>
            <w:rPr>
              <w:lang w:eastAsia="pl-PL"/>
            </w:rPr>
            <w:t xml:space="preserve">    </w:t>
          </w:r>
          <w:r>
            <w:rPr>
              <w:noProof/>
              <w:lang w:eastAsia="pl-PL"/>
            </w:rPr>
            <w:drawing>
              <wp:inline distT="0" distB="0" distL="0" distR="0" wp14:anchorId="047E5258" wp14:editId="6D3AC23C">
                <wp:extent cx="2047875" cy="438150"/>
                <wp:effectExtent l="0" t="0" r="9525" b="0"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53" r="-11" b="-5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AC80172" w14:textId="77777777" w:rsidR="00245855" w:rsidRDefault="00245855" w:rsidP="00245855">
          <w:pPr>
            <w:pStyle w:val="Nagwek"/>
            <w:snapToGrid w:val="0"/>
            <w:jc w:val="right"/>
            <w:rPr>
              <w:lang w:eastAsia="pl-PL"/>
            </w:rPr>
          </w:pPr>
        </w:p>
        <w:p w14:paraId="75EC4069" w14:textId="5D826BFC" w:rsidR="00245855" w:rsidRDefault="00245855" w:rsidP="00245855">
          <w:pPr>
            <w:pStyle w:val="Nagwek"/>
            <w:jc w:val="right"/>
            <w:rPr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7D29A87F" wp14:editId="2E46644B">
                <wp:extent cx="1704975" cy="476250"/>
                <wp:effectExtent l="0" t="0" r="9525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31" r="-8" b="-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98FEC2" w14:textId="61D0953D" w:rsidR="00245855" w:rsidRDefault="00245855">
    <w:pPr>
      <w:pStyle w:val="Nagwek"/>
    </w:pPr>
  </w:p>
  <w:p w14:paraId="7986C0EC" w14:textId="77777777" w:rsidR="00245855" w:rsidRDefault="00245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70F96"/>
    <w:multiLevelType w:val="hybridMultilevel"/>
    <w:tmpl w:val="BE123D1E"/>
    <w:lvl w:ilvl="0" w:tplc="F18ADF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11805"/>
    <w:multiLevelType w:val="hybridMultilevel"/>
    <w:tmpl w:val="63D2F632"/>
    <w:lvl w:ilvl="0" w:tplc="7AC2D762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3"/>
    <w:rsid w:val="000D55E5"/>
    <w:rsid w:val="001862CE"/>
    <w:rsid w:val="00245855"/>
    <w:rsid w:val="00292620"/>
    <w:rsid w:val="003C1486"/>
    <w:rsid w:val="003D769D"/>
    <w:rsid w:val="00465897"/>
    <w:rsid w:val="0047438E"/>
    <w:rsid w:val="00541F58"/>
    <w:rsid w:val="00591403"/>
    <w:rsid w:val="005E7F71"/>
    <w:rsid w:val="0067222E"/>
    <w:rsid w:val="007B6451"/>
    <w:rsid w:val="007C5E83"/>
    <w:rsid w:val="007E36AE"/>
    <w:rsid w:val="00811AF6"/>
    <w:rsid w:val="00947734"/>
    <w:rsid w:val="009C2DBC"/>
    <w:rsid w:val="009E320F"/>
    <w:rsid w:val="00A10583"/>
    <w:rsid w:val="00AC652D"/>
    <w:rsid w:val="00B96123"/>
    <w:rsid w:val="00C20392"/>
    <w:rsid w:val="00C207DC"/>
    <w:rsid w:val="00C538CD"/>
    <w:rsid w:val="00D87EDA"/>
    <w:rsid w:val="00DD5E00"/>
    <w:rsid w:val="00E65949"/>
    <w:rsid w:val="00ED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22DA71"/>
  <w15:chartTrackingRefBased/>
  <w15:docId w15:val="{C82CFA58-72AF-4223-8712-6329CAF2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5E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C5E8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855"/>
  </w:style>
  <w:style w:type="paragraph" w:styleId="Stopka">
    <w:name w:val="footer"/>
    <w:basedOn w:val="Normalny"/>
    <w:link w:val="StopkaZnak"/>
    <w:uiPriority w:val="99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855"/>
  </w:style>
  <w:style w:type="paragraph" w:styleId="Tekstpodstawowy">
    <w:name w:val="Body Text"/>
    <w:basedOn w:val="Normalny"/>
    <w:link w:val="TekstpodstawowyZnak"/>
    <w:rsid w:val="007E36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36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7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D942-5629-4037-9161-DA058EE5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2717</Words>
  <Characters>16304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25</cp:revision>
  <dcterms:created xsi:type="dcterms:W3CDTF">2020-09-10T06:41:00Z</dcterms:created>
  <dcterms:modified xsi:type="dcterms:W3CDTF">2020-10-16T07:37:00Z</dcterms:modified>
</cp:coreProperties>
</file>