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40EE3" w14:textId="19EF6FAC" w:rsidR="007C5E83" w:rsidRPr="00E16192" w:rsidRDefault="007C5E83" w:rsidP="007C5E83">
      <w:pPr>
        <w:ind w:firstLine="708"/>
        <w:jc w:val="right"/>
        <w:rPr>
          <w:rFonts w:ascii="Garamond" w:hAnsi="Garamond" w:cs="Arial"/>
          <w:b/>
          <w:snapToGrid w:val="0"/>
        </w:rPr>
      </w:pPr>
      <w:r w:rsidRPr="00E16192">
        <w:rPr>
          <w:rFonts w:ascii="Garamond" w:hAnsi="Garamond" w:cs="Arial"/>
          <w:b/>
          <w:snapToGrid w:val="0"/>
        </w:rPr>
        <w:t>Nr sprawy</w:t>
      </w:r>
      <w:r w:rsidR="00245855">
        <w:rPr>
          <w:rFonts w:ascii="Garamond" w:hAnsi="Garamond" w:cs="Arial"/>
          <w:b/>
          <w:snapToGrid w:val="0"/>
        </w:rPr>
        <w:t>: ZP.271.11.2020</w:t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snapToGrid w:val="0"/>
        </w:rPr>
        <w:t xml:space="preserve">Załącznik nr </w:t>
      </w:r>
      <w:r w:rsidR="00245855">
        <w:rPr>
          <w:rFonts w:ascii="Garamond" w:hAnsi="Garamond" w:cs="Arial"/>
          <w:snapToGrid w:val="0"/>
        </w:rPr>
        <w:t>4/</w:t>
      </w:r>
      <w:r w:rsidR="00A13782">
        <w:rPr>
          <w:rFonts w:ascii="Garamond" w:hAnsi="Garamond" w:cs="Arial"/>
          <w:snapToGrid w:val="0"/>
        </w:rPr>
        <w:t>5</w:t>
      </w:r>
      <w:r w:rsidRPr="00E16192">
        <w:rPr>
          <w:rFonts w:ascii="Garamond" w:hAnsi="Garamond" w:cs="Arial"/>
          <w:snapToGrid w:val="0"/>
        </w:rPr>
        <w:t xml:space="preserve"> do SIWZ</w:t>
      </w:r>
    </w:p>
    <w:p w14:paraId="67D75EE9" w14:textId="77777777" w:rsidR="007C5E8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4C60F460" w14:textId="77777777" w:rsidR="007C5E8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3E8BD7A6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07A6F88D" w14:textId="77777777" w:rsidR="00245855" w:rsidRDefault="00245855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</w:p>
    <w:p w14:paraId="4D1CE98D" w14:textId="77777777" w:rsidR="00245855" w:rsidRDefault="00245855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</w:p>
    <w:p w14:paraId="15DCCDCE" w14:textId="2B99FA1D" w:rsidR="007C5E83" w:rsidRPr="00E16192" w:rsidRDefault="007C5E83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  <w:r w:rsidRPr="00E16192">
        <w:rPr>
          <w:rFonts w:ascii="Garamond" w:hAnsi="Garamond" w:cs="Arial"/>
          <w:snapToGrid w:val="0"/>
        </w:rPr>
        <w:t>.........................................................</w:t>
      </w:r>
    </w:p>
    <w:p w14:paraId="52D00AC9" w14:textId="77777777" w:rsidR="007C5E83" w:rsidRPr="00E16192" w:rsidRDefault="007C5E83" w:rsidP="00245855">
      <w:pPr>
        <w:spacing w:after="0" w:line="240" w:lineRule="auto"/>
        <w:ind w:left="12036" w:hanging="11610"/>
        <w:jc w:val="both"/>
        <w:rPr>
          <w:rFonts w:ascii="Garamond" w:hAnsi="Garamond" w:cs="Arial"/>
          <w:snapToGrid w:val="0"/>
        </w:rPr>
      </w:pPr>
      <w:r w:rsidRPr="00E16192">
        <w:rPr>
          <w:rFonts w:ascii="Garamond" w:hAnsi="Garamond" w:cs="Arial"/>
          <w:snapToGrid w:val="0"/>
        </w:rPr>
        <w:t xml:space="preserve">  </w:t>
      </w:r>
      <w:r>
        <w:rPr>
          <w:rFonts w:ascii="Garamond" w:hAnsi="Garamond" w:cs="Arial"/>
          <w:snapToGrid w:val="0"/>
        </w:rPr>
        <w:t xml:space="preserve"> </w:t>
      </w:r>
      <w:r w:rsidRPr="00E16192">
        <w:rPr>
          <w:rFonts w:ascii="Garamond" w:hAnsi="Garamond" w:cs="Arial"/>
          <w:snapToGrid w:val="0"/>
        </w:rPr>
        <w:t>(pieczęć adresowa Wykonawcy)</w:t>
      </w:r>
    </w:p>
    <w:p w14:paraId="123AAEA5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jc w:val="left"/>
        <w:rPr>
          <w:rFonts w:ascii="Arial" w:hAnsi="Arial" w:cs="Arial"/>
          <w:b w:val="0"/>
          <w:bCs w:val="0"/>
          <w:i/>
          <w:sz w:val="20"/>
        </w:rPr>
      </w:pPr>
    </w:p>
    <w:p w14:paraId="704A9973" w14:textId="77777777" w:rsidR="007C5E83" w:rsidRDefault="007C5E83" w:rsidP="007C5E83">
      <w:pPr>
        <w:spacing w:after="60"/>
        <w:jc w:val="center"/>
        <w:rPr>
          <w:rFonts w:ascii="Arial" w:hAnsi="Arial" w:cs="Arial"/>
          <w:b/>
          <w:sz w:val="20"/>
        </w:rPr>
      </w:pPr>
    </w:p>
    <w:p w14:paraId="78EDC2BD" w14:textId="119BCC37" w:rsidR="007C5E83" w:rsidRPr="007C5E83" w:rsidRDefault="007C5E83" w:rsidP="007C5E83">
      <w:pPr>
        <w:jc w:val="center"/>
        <w:rPr>
          <w:rFonts w:ascii="Garamond" w:hAnsi="Garamond" w:cs="Arial"/>
          <w:b/>
          <w:bCs/>
          <w:sz w:val="28"/>
          <w:u w:val="single"/>
        </w:rPr>
      </w:pPr>
      <w:r w:rsidRPr="007C5E83">
        <w:rPr>
          <w:rFonts w:ascii="Garamond" w:hAnsi="Garamond" w:cs="Arial"/>
          <w:b/>
          <w:bCs/>
          <w:sz w:val="28"/>
          <w:u w:val="single"/>
        </w:rPr>
        <w:t xml:space="preserve">FORMULARZ CENOWY  - CZĘŚĆ </w:t>
      </w:r>
      <w:r w:rsidR="00DC3F3D">
        <w:rPr>
          <w:rFonts w:ascii="Garamond" w:hAnsi="Garamond" w:cs="Arial"/>
          <w:b/>
          <w:bCs/>
          <w:sz w:val="28"/>
          <w:u w:val="single"/>
        </w:rPr>
        <w:t>V</w:t>
      </w:r>
    </w:p>
    <w:p w14:paraId="5454D780" w14:textId="77777777" w:rsidR="007C5E83" w:rsidRPr="004802A3" w:rsidRDefault="007C5E83" w:rsidP="007C5E83">
      <w:pPr>
        <w:jc w:val="center"/>
        <w:rPr>
          <w:rFonts w:ascii="Arial" w:hAnsi="Arial" w:cs="Arial"/>
          <w:b/>
          <w:sz w:val="20"/>
        </w:rPr>
      </w:pPr>
    </w:p>
    <w:p w14:paraId="55DC39AB" w14:textId="7AF4B474" w:rsidR="007C5E83" w:rsidRPr="00947734" w:rsidRDefault="007C5E83" w:rsidP="009477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Garamond" w:hAnsi="Garamond" w:cs="Arial"/>
          <w:b w:val="0"/>
          <w:sz w:val="22"/>
          <w:szCs w:val="22"/>
        </w:rPr>
      </w:pPr>
      <w:r w:rsidRPr="00947734">
        <w:rPr>
          <w:rFonts w:ascii="Garamond" w:hAnsi="Garamond" w:cs="Arial"/>
          <w:b w:val="0"/>
          <w:sz w:val="22"/>
          <w:szCs w:val="22"/>
        </w:rPr>
        <w:t>Składając ofertę w postępowaniu prowadzonym w trybie przetargu nieograniczonego na</w:t>
      </w:r>
      <w:r w:rsidR="00947734" w:rsidRPr="00947734">
        <w:rPr>
          <w:rFonts w:ascii="Garamond" w:hAnsi="Garamond" w:cs="Arial"/>
          <w:b w:val="0"/>
          <w:sz w:val="22"/>
          <w:szCs w:val="22"/>
          <w:lang w:val="pl-PL"/>
        </w:rPr>
        <w:t xml:space="preserve"> </w:t>
      </w:r>
      <w:r w:rsidR="00947734" w:rsidRPr="00947734">
        <w:rPr>
          <w:rFonts w:ascii="Garamond" w:hAnsi="Garamond"/>
          <w:i/>
          <w:iCs/>
          <w:sz w:val="22"/>
          <w:szCs w:val="22"/>
          <w:lang w:val="pl-PL"/>
        </w:rPr>
        <w:t>d</w:t>
      </w:r>
      <w:r w:rsidR="00947734" w:rsidRPr="00947734">
        <w:rPr>
          <w:rFonts w:ascii="Garamond" w:hAnsi="Garamond"/>
          <w:i/>
          <w:iCs/>
          <w:sz w:val="22"/>
          <w:szCs w:val="22"/>
        </w:rPr>
        <w:t>ostaw</w:t>
      </w:r>
      <w:r w:rsidR="00947734" w:rsidRPr="00947734">
        <w:rPr>
          <w:rFonts w:ascii="Garamond" w:hAnsi="Garamond"/>
          <w:i/>
          <w:iCs/>
          <w:sz w:val="22"/>
          <w:szCs w:val="22"/>
          <w:lang w:val="pl-PL"/>
        </w:rPr>
        <w:t>ę</w:t>
      </w:r>
      <w:r w:rsidR="00947734" w:rsidRPr="00947734">
        <w:rPr>
          <w:rFonts w:ascii="Garamond" w:hAnsi="Garamond"/>
          <w:i/>
          <w:iCs/>
          <w:sz w:val="22"/>
          <w:szCs w:val="22"/>
        </w:rPr>
        <w:t xml:space="preserve"> pomocy dydaktycznych i wyposażenia wraz z montażem do szkolnych pracowni w Szkole Podstawowej im. ks. Walentego Barczewskiego w Spręcowie w ramach projektu Innowacyjna SP Spręcowo – kreatywni uczniowie</w:t>
      </w:r>
      <w:r w:rsidRPr="00947734">
        <w:rPr>
          <w:rFonts w:ascii="Garamond" w:hAnsi="Garamond" w:cs="Arial"/>
          <w:b w:val="0"/>
          <w:sz w:val="22"/>
          <w:szCs w:val="22"/>
        </w:rPr>
        <w:t>, niniejszym oferuję wykonanie niżej wymienionego przedmiotu zamówienia za cenę:</w:t>
      </w:r>
    </w:p>
    <w:p w14:paraId="7C9D2BBC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851"/>
        <w:jc w:val="both"/>
        <w:rPr>
          <w:rFonts w:ascii="Arial" w:hAnsi="Arial" w:cs="Arial"/>
          <w:b w:val="0"/>
          <w:sz w:val="20"/>
          <w:lang w:val="pl-PL"/>
        </w:rPr>
      </w:pPr>
    </w:p>
    <w:tbl>
      <w:tblPr>
        <w:tblW w:w="153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993"/>
        <w:gridCol w:w="141"/>
        <w:gridCol w:w="4678"/>
        <w:gridCol w:w="1843"/>
        <w:gridCol w:w="709"/>
        <w:gridCol w:w="709"/>
        <w:gridCol w:w="1275"/>
        <w:gridCol w:w="1134"/>
        <w:gridCol w:w="1134"/>
        <w:gridCol w:w="6"/>
        <w:gridCol w:w="1556"/>
        <w:gridCol w:w="6"/>
      </w:tblGrid>
      <w:tr w:rsidR="006E6672" w:rsidRPr="006E6672" w14:paraId="5EB87CA7" w14:textId="77777777" w:rsidTr="006E6672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4182B" w14:textId="77777777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Lp.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3FD41B" w14:textId="1889F49D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Przedmiot zamówienia – pracownia przedsiębiorczości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B8E946" w14:textId="77777777" w:rsidR="006E6672" w:rsidRPr="006E6672" w:rsidRDefault="006E6672" w:rsidP="009C2DBC">
            <w:pPr>
              <w:snapToGrid w:val="0"/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Dane umożliwiające</w:t>
            </w:r>
          </w:p>
          <w:p w14:paraId="31DA0320" w14:textId="526CA80A" w:rsidR="006E6672" w:rsidRPr="006E6672" w:rsidRDefault="006E6672" w:rsidP="009C2DBC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  <w:vertAlign w:val="superscript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identyfikacje oferowanego asortymentu (nazwa producenta, oznaczenie handlowe, model, typ)</w:t>
            </w:r>
            <w:r w:rsidRPr="006E6672">
              <w:rPr>
                <w:rFonts w:ascii="Garamond" w:hAnsi="Garamond" w:cs="Arial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6B8F2" w14:textId="77777777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J. 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E1D8FB" w14:textId="77777777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30A7E1" w14:textId="77777777" w:rsidR="006E6672" w:rsidRDefault="006E6672" w:rsidP="006E6672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71A7C73D" w14:textId="77777777" w:rsidR="006E6672" w:rsidRDefault="006E6672" w:rsidP="006E6672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2D09C43B" w14:textId="0EA52C79" w:rsidR="006E6672" w:rsidRPr="006E6672" w:rsidRDefault="006E6672" w:rsidP="006E6672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netto</w:t>
            </w:r>
            <w:r w:rsidRPr="006E6672">
              <w:rPr>
                <w:rFonts w:ascii="Garamond" w:hAnsi="Garamond" w:cs="Arial"/>
                <w:b/>
                <w:sz w:val="18"/>
                <w:szCs w:val="18"/>
              </w:rPr>
              <w:t xml:space="preserve"> w zł </w:t>
            </w:r>
          </w:p>
          <w:p w14:paraId="73FAD99D" w14:textId="77777777" w:rsidR="006E6672" w:rsidRPr="006E6672" w:rsidRDefault="006E6672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9FAF0C" w14:textId="77777777" w:rsidR="006E6672" w:rsidRDefault="006E6672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14145CEB" w14:textId="77777777" w:rsidR="006E6672" w:rsidRDefault="006E6672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4B42BD6F" w14:textId="0962C321" w:rsidR="006E6672" w:rsidRPr="006E6672" w:rsidRDefault="00140A4D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sz w:val="18"/>
                <w:szCs w:val="18"/>
              </w:rPr>
              <w:t>Podatek VAT w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4DF072" w14:textId="04DA718C" w:rsidR="006E6672" w:rsidRPr="006E6672" w:rsidRDefault="006E6672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 xml:space="preserve">Cena jednostkowa brutto w zł </w:t>
            </w:r>
          </w:p>
          <w:p w14:paraId="79308281" w14:textId="52C03D69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0B8A92" w14:textId="77777777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Kwota brutto</w:t>
            </w:r>
          </w:p>
          <w:p w14:paraId="7EB89940" w14:textId="77777777" w:rsid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 xml:space="preserve">(kol. 5 x kol. 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8</w:t>
            </w:r>
            <w:r w:rsidRPr="006E6672">
              <w:rPr>
                <w:rFonts w:ascii="Garamond" w:hAnsi="Garamond" w:cs="Arial"/>
                <w:b/>
                <w:sz w:val="18"/>
                <w:szCs w:val="18"/>
              </w:rPr>
              <w:t xml:space="preserve">) </w:t>
            </w:r>
          </w:p>
          <w:p w14:paraId="36CFD8AF" w14:textId="106B4812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w zł.</w:t>
            </w:r>
          </w:p>
        </w:tc>
      </w:tr>
      <w:tr w:rsidR="006E6672" w:rsidRPr="009C2DBC" w14:paraId="44190BEB" w14:textId="77777777" w:rsidTr="006E6672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2ECA8" w14:textId="77777777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  <w:r w:rsidRPr="009C2DBC"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8DC8A4" w14:textId="77777777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70CBA" w14:textId="77777777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00A8C" w14:textId="77777777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192" w14:textId="77777777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88A22B" w14:textId="6C3D71E5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65B656" w14:textId="0C4745D2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8E72C" w14:textId="46B46EE8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09413F" w14:textId="59EB6153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9</w:t>
            </w:r>
          </w:p>
        </w:tc>
      </w:tr>
      <w:tr w:rsidR="006E6672" w:rsidRPr="009C2DBC" w14:paraId="68485AAC" w14:textId="77777777" w:rsidTr="006E6672">
        <w:trPr>
          <w:gridAfter w:val="1"/>
          <w:wAfter w:w="6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EAFDEE" w14:textId="09F42CB6" w:rsidR="006E6672" w:rsidRPr="009C2DBC" w:rsidRDefault="006E6672" w:rsidP="004F325C">
            <w:pPr>
              <w:pStyle w:val="Tekstpodstawowy"/>
              <w:numPr>
                <w:ilvl w:val="0"/>
                <w:numId w:val="1"/>
              </w:numPr>
              <w:tabs>
                <w:tab w:val="left" w:pos="173"/>
              </w:tabs>
              <w:ind w:left="173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8D8" w14:textId="473A7384" w:rsidR="006E6672" w:rsidRPr="00ED1CED" w:rsidRDefault="006E6672" w:rsidP="00ED1CED">
            <w:pPr>
              <w:rPr>
                <w:rFonts w:ascii="Garamond" w:hAnsi="Garamond" w:cs="Arial"/>
                <w:sz w:val="18"/>
                <w:szCs w:val="18"/>
              </w:rPr>
            </w:pPr>
            <w:r w:rsidRPr="001C722A">
              <w:rPr>
                <w:rFonts w:ascii="Garamond" w:hAnsi="Garamond" w:cs="Arial"/>
                <w:sz w:val="18"/>
                <w:szCs w:val="18"/>
              </w:rPr>
              <w:t>Gra edukacyjna w zarządzanie majątkiem. Jako przykład zamawiający podaje "Monopol"</w:t>
            </w: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65C57" w14:textId="77777777" w:rsidR="006E6672" w:rsidRPr="001C722A" w:rsidRDefault="006E6672" w:rsidP="001C722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C722A">
              <w:rPr>
                <w:rFonts w:ascii="Garamond" w:hAnsi="Garamond" w:cs="Arial"/>
                <w:sz w:val="18"/>
                <w:szCs w:val="18"/>
              </w:rPr>
              <w:t>Gra edukacyjna "Monopol" lub równoważna. Warunki równoważności: ekonomiczna gra planszowa w zarządzanie majątkiem polegająca na kupowaniu i sprzedawaniu nieruchomości. Wygrana zależy od trafnych decyzji, udanych inwestycji i mądrze przeprowadzonych transakcji.</w:t>
            </w:r>
          </w:p>
          <w:p w14:paraId="46715789" w14:textId="77777777" w:rsidR="006E6672" w:rsidRPr="001C722A" w:rsidRDefault="006E6672" w:rsidP="001C722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C722A">
              <w:rPr>
                <w:rFonts w:ascii="Garamond" w:hAnsi="Garamond" w:cs="Arial"/>
                <w:sz w:val="18"/>
                <w:szCs w:val="18"/>
              </w:rPr>
              <w:t xml:space="preserve">W zestawie: plansza, min. 8 pionków, min. 28 kart własności, min. 16 kart typu Szansa, min. 16 innych kart np. Kasa społeczna, </w:t>
            </w:r>
            <w:r w:rsidRPr="001C722A">
              <w:rPr>
                <w:rFonts w:ascii="Garamond" w:hAnsi="Garamond" w:cs="Arial"/>
                <w:sz w:val="18"/>
                <w:szCs w:val="18"/>
              </w:rPr>
              <w:lastRenderedPageBreak/>
              <w:t>min. 32 domy, min. 12 hoteli, zestaw banknotów, min. 2 kostki oraz czytelna instrukcja. Gra w polskiej wersji.</w:t>
            </w:r>
          </w:p>
          <w:p w14:paraId="500A2675" w14:textId="05380C1F" w:rsidR="006E6672" w:rsidRPr="009E320F" w:rsidRDefault="006E6672" w:rsidP="001C722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C722A">
              <w:rPr>
                <w:rFonts w:ascii="Garamond" w:hAnsi="Garamond" w:cs="Arial"/>
                <w:sz w:val="18"/>
                <w:szCs w:val="18"/>
              </w:rPr>
              <w:t>Całość ma być wykonana z wysokiej jakości materiałów w trwałym pudełku, w którym wszystkie elementy mają swoje miejsce.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937F3" w14:textId="24F46D19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44B2F" w14:textId="324F5E22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34FEC0" w14:textId="20AA56C0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5A25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683E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D9D3" w14:textId="3D10D9F5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57D5" w14:textId="0808D2A5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455C1A9B" w14:textId="77777777" w:rsidTr="006E6672">
        <w:trPr>
          <w:gridAfter w:val="1"/>
          <w:wAfter w:w="6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CB5F96" w14:textId="77777777" w:rsidR="006E6672" w:rsidRPr="009C2DBC" w:rsidRDefault="006E6672" w:rsidP="004F325C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ind w:left="173" w:hanging="29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D4EF" w14:textId="67817448" w:rsidR="006E6672" w:rsidRPr="00ED1CED" w:rsidRDefault="006E6672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symulująca biznesowe życie przeciętnego Polaka. Jako przykład zamawiający podaje "Eurocash"</w:t>
            </w: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6E3C1" w14:textId="1B2AD81F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"Eurocash" lub równoważna. Warunki równoważności: ekonomiczna gra planszowa polegająca na symulacji biznesowego życia, w którym każdy gracz wciela się w postać przeciętnego Polaka z określonym bagażem finansowym, oszczędnościami i miesięcznymi zarobkami, a jego zadaniem jest zdobyć jak największy przychód ze swoich inwestycji w czasie gry oraz wykupienie swojego wcześniej wybranego marzenia. Podczas rozgrywki gracze inwestują na giełdzie, w nieruchomości, papiery wartościowe i własny biznes. Jednocześnie przez zabawę uczą się jakie schematy działania prowadzą do wygranej oraz z jakim rodzajem zysku i ryzyka wiążą się poszczególne transakcje. W czasie rozgrywki spotykają graczy także różne losowe sytuacje z których muszą znaleźć drogę wyjścia i podjąć jak najlepszą decyzję.</w:t>
            </w:r>
            <w:r>
              <w:rPr>
                <w:rFonts w:ascii="Garamond" w:hAnsi="Garamond" w:cs="Arial"/>
                <w:sz w:val="18"/>
                <w:szCs w:val="18"/>
              </w:rPr>
              <w:t xml:space="preserve"> </w:t>
            </w:r>
            <w:r w:rsidRPr="0075635E">
              <w:rPr>
                <w:rFonts w:ascii="Garamond" w:hAnsi="Garamond" w:cs="Arial"/>
                <w:sz w:val="18"/>
                <w:szCs w:val="18"/>
              </w:rPr>
              <w:t xml:space="preserve">Każda rozgrywka nastawiona jest na maksymalną interakcję wszystkich graczy, którzy pomiędzy sobą prowadzą licytacje, zawierają spółki, odsprzedają swoje biznesy oraz wspólnie decydują o przyszłości swoich firm. </w:t>
            </w:r>
          </w:p>
          <w:p w14:paraId="2C9C3396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W zestawie: karty postaci, plansza, min. 6 pionków, min. 3 kostki do gry, zestaw banknotów i czeków, zestawienia finansowe będące jednocześnie kartą wyników w grze, zestaw ołówków, min. 4 talie kart, prosty i czytelny regulamin.</w:t>
            </w:r>
          </w:p>
          <w:p w14:paraId="04A378EA" w14:textId="7F73DE7A" w:rsidR="006E6672" w:rsidRPr="00ED1CED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Całość ma być wykonana z wysokiej jakości materiałów w trwałym pudełku, w którym wszystkie elementy mają swoje miejsce. Gra w polskiej wersji.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BADB0" w14:textId="4A60F4FD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3231C" w14:textId="70698A44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86D1C6" w14:textId="1262C392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C73D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37F9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6249" w14:textId="2159DD01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5DB1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039E3C8F" w14:textId="77777777" w:rsidTr="006E6672">
        <w:trPr>
          <w:gridAfter w:val="1"/>
          <w:wAfter w:w="6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BB9FB" w14:textId="77777777" w:rsidR="006E6672" w:rsidRPr="009C2DBC" w:rsidRDefault="006E6672" w:rsidP="004F325C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ind w:left="173" w:hanging="29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AFC5" w14:textId="7A3D68C3" w:rsidR="006E6672" w:rsidRPr="00ED1CED" w:rsidRDefault="006E6672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polegająca na sprzedawaniu i kupowaniu zastawianych produktów. Jako przykład zamawiający podaje "Lombard"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E1873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"Lombard" lub równoważna. Warunki równoważności: ekonomiczna gra planszowa polegająca na sprzedawaniu i kupowaniu zastawianych produktów tak, by zarobić jak najwięcej. Trzeba podejmować dobre decyzje, gdyż niektóre z przedmiotów mają ukryte wady lub atuty, które obniżają lub podwyższają ich wartość. Przeciwnikami w grze są pozostali pracownicy lombardu, którym także zależy na uznaniu szefa. Wygrywa ten, kto okaże się najlepszym strategiem i sprzedawcą roku. Gra uczy podejmowania ryzyka inwestycyjnego i sprytu w codziennych decyzjach zakupowych. Gracze sami w łatwy sposób sterują długością rozgrywki.</w:t>
            </w:r>
          </w:p>
          <w:p w14:paraId="4A2CE239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lastRenderedPageBreak/>
              <w:t>Zawartość opakowania: pionki z postaciami - 6 szt., inne pionki - min. 1 szt., plansza - 1 szt., karty - min. 165 szt., Kostka Sprzedaży - 1 szt., Kostka Kupna - 1 szt., Kostka Ruchu - 1 szt. - każda w innym kolorze, banknoty - min. 250 szt. - po 50 szt. każdego rodzaju, czeki - min. 63 szt., notes - min. 1 szt., czytelna instrukcja.</w:t>
            </w:r>
          </w:p>
          <w:p w14:paraId="370649A5" w14:textId="36EF74A8" w:rsidR="006E6672" w:rsidRPr="00ED1CED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Całość ma być wykonana z wysokiej jakości materiałów w trwałym pudełku, w którym wszystkie elementy mają swoje miejsce. Gra w polskiej wersji.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5ED63" w14:textId="3C74EEBA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0BA1E" w14:textId="317CB71C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0F1DB" w14:textId="40E08C61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3A9F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47D9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3A0C" w14:textId="44EFFF4F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AFE1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32BD894B" w14:textId="77777777" w:rsidTr="006E6672">
        <w:trPr>
          <w:gridAfter w:val="1"/>
          <w:wAfter w:w="6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A0691A" w14:textId="77777777" w:rsidR="006E6672" w:rsidRPr="009C2DBC" w:rsidRDefault="006E6672" w:rsidP="004F325C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ind w:left="173" w:hanging="29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D1C8" w14:textId="2255E64A" w:rsidR="006E6672" w:rsidRPr="00ED1CED" w:rsidRDefault="006E6672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polegająca na nabywaniu umiejętności finansowych, głównie inwestowania. Jako przykład zamawiający podaje "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Cashflow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>"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B29373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"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Cashflow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>" lub równoważna. Warunki równoważności: ekonomiczna gra planszowa polegająca na nabywaniu umiejętności finansowych, uczy tajników inwestowania i  możliwości osiągnięcia sukcesu w życiu zawodowym. Każdy gracz opracowuje swoją strategię inwestycyjną w oparciu o nieruchomości, okazje biznesowe, akcje i metale szlachetne. Gracze skupują nieruchomości, obracają akcjami, muszą uważać na zmiany na rynku, gromadzą aktywa, niwelują pasywa, uczą się reagować na wahania na rynku, na złych lokatorów rujnujących ich inwestycję i na inne pułapki związane ze złymi okazjami inwestycyjnymi, z kupowaniem gadżetów, z pazernymi członkami rodziny i z nieuczciwymi partnerami w biznesie. Gracz dowiaduje się jak działa jako inwestor.</w:t>
            </w:r>
          </w:p>
          <w:p w14:paraId="2D35896B" w14:textId="5ACF6696" w:rsidR="006E6672" w:rsidRPr="00ED1CED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Całość ma być wykonana z wysokiej jakości materiałów w trwałym pudełku, w którym wszystkie elementy mają swoje miejsce. Gra w polskiej wersji.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89623" w14:textId="2C3EE276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48432" w14:textId="0510C798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06271" w14:textId="6AF667C5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904F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7F49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7D57" w14:textId="2C2B3AFB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48DA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43561D73" w14:textId="77777777" w:rsidTr="006E6672">
        <w:trPr>
          <w:gridAfter w:val="1"/>
          <w:wAfter w:w="6" w:type="dxa"/>
          <w:trHeight w:val="6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3A824" w14:textId="77777777" w:rsidR="006E6672" w:rsidRPr="009C2DBC" w:rsidRDefault="006E6672" w:rsidP="004F325C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ind w:left="173" w:hanging="29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664DE3" w14:textId="54E54734" w:rsidR="006E6672" w:rsidRPr="00ED1CED" w:rsidRDefault="006E6672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polegająca na nabywaniu umiejętności finansowych. Jako przykład zamawiający podaje "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Antymonopoly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>"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1F48F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"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Antymonopoly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>" lub równoważna. Warunki równoważności: ekonomiczna gra planszowa polegająca na nabywaniu umiejętności finansowych. Gra oddaje współczesne realia, w których mali i średni przedsiębiorcy działają na rynku razem z wielkimi monopolistami. Gracze sami decydują, czy chcą rozegrać partię z punktu widzenia przedsiębiorcy czy monopolisty, dzięki czemu w trakcie rozrywki kierować się będą odmiennymi regułami.</w:t>
            </w:r>
          </w:p>
          <w:p w14:paraId="7C4FD65B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Zawartość opakowania: plansza, min. 78 kart typu „Tytuł własności”, typu „Przedsiębiorca” i typu „Monopolista”, min. 6 pionków, min. 50 domów i hoteli, min. 2 kostki, pieniądze, czytelna instrukcja.</w:t>
            </w:r>
          </w:p>
          <w:p w14:paraId="2FDE1DCA" w14:textId="1DDF5B0B" w:rsidR="006E6672" w:rsidRPr="00ED1CED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Całość ma być wykonana z wysokiej jakości materiałów w trwałym pudełku, w którym wszystkie elementy mają swoje miejsce. Gra w polskiej wersji.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EC6CB05" w14:textId="08DA0AD4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B673237" w14:textId="1939A5FF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0FE590C" w14:textId="4517EED5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B2BC6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3CACC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AFEF1" w14:textId="5659CDAA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35EBB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75417DFF" w14:textId="77777777" w:rsidTr="006E6672">
        <w:trPr>
          <w:gridAfter w:val="1"/>
          <w:wAfter w:w="6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094C4F" w14:textId="77777777" w:rsidR="006E6672" w:rsidRPr="009C2DBC" w:rsidRDefault="006E6672" w:rsidP="004F325C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ind w:left="173" w:hanging="29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2DF" w14:textId="4F8ED7C5" w:rsidR="006E6672" w:rsidRPr="00ED1CED" w:rsidRDefault="006E6672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 xml:space="preserve">Gra edukacyjna polegająca na nabywaniu umiejętności finansowych. Jako przykład zamawiający podaje grę 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Hasbro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 xml:space="preserve"> "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PayDay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>"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78DB4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"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PayDay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>" lub równoważna. Warunki równoważności: ekonomiczna gra planszowa polegająca na nabywaniu umiejętności finansowych. Gracze mają na celu przejść przez planszę w taki sposób by nabywać i sprzedawać nieruchomości, zarabiając i inwestując pieniądze oraz tracąc je na spłaty długów, podatków, kaucji i wielu innych przeciwności. Ktoś może otrzymać pieniądze na urodziny, wygrać na loterii lub zapłacić za wakacje nad morzem.</w:t>
            </w:r>
          </w:p>
          <w:p w14:paraId="27F3F754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Zawartość opakowania: min. 100 kart gry (3 różne talie), kostka urozmaicająca grę, min. 4 pionki, notes, pakiet banknotów, czytelna instrukcja.</w:t>
            </w:r>
          </w:p>
          <w:p w14:paraId="09297637" w14:textId="55640930" w:rsidR="006E6672" w:rsidRPr="00ED1CED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Całość ma być wykonana z wysokiej jakości materiałów w trwałym pudełku, w którym wszystkie elementy mają swoje miejsce. Gra w polskiej wersji.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AB544" w14:textId="32F20152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8CAA5" w14:textId="218FF29A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2FDB9" w14:textId="53BE8612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896E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38A0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7D9F" w14:textId="33F7DE5C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0750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3270E36D" w14:textId="77777777" w:rsidTr="006E6672">
        <w:trPr>
          <w:gridAfter w:val="1"/>
          <w:wAfter w:w="6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A3C8C" w14:textId="425E4BC8" w:rsidR="006E6672" w:rsidRPr="009C2DBC" w:rsidRDefault="006E6672" w:rsidP="00BB0EDF">
            <w:pPr>
              <w:pStyle w:val="Tekstpodstawowy"/>
              <w:numPr>
                <w:ilvl w:val="0"/>
                <w:numId w:val="1"/>
              </w:numPr>
              <w:tabs>
                <w:tab w:val="left" w:pos="457"/>
              </w:tabs>
              <w:ind w:left="0" w:right="38" w:hanging="23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A712" w14:textId="0B331794" w:rsidR="006E6672" w:rsidRPr="00E67969" w:rsidRDefault="006E6672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Materiały biurowe do przedsiębiorczości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75763C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Jeden komplet obejmuje:</w:t>
            </w:r>
          </w:p>
          <w:p w14:paraId="05458589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wkład z papieru rysunkowego A4/250 ark. 2 opak.</w:t>
            </w:r>
          </w:p>
          <w:p w14:paraId="572092EA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wkład z kolorowego papieru rysunkowego A4/400 ark. 1 opak.</w:t>
            </w:r>
          </w:p>
          <w:p w14:paraId="17B0F30D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papier wycinankowy nabłyszczany A3/100k., 10 kol. 1 opak.</w:t>
            </w:r>
          </w:p>
          <w:p w14:paraId="7A68FD9B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brystol A3/100 ark. biały 1 opak.</w:t>
            </w:r>
          </w:p>
          <w:p w14:paraId="28D612E1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brystol mix A4/100 ark. 10 kolorów  1 opak.</w:t>
            </w:r>
          </w:p>
          <w:p w14:paraId="379F070C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kredki: 10 opakowań po 10 sztuk</w:t>
            </w:r>
          </w:p>
          <w:p w14:paraId="6ADE31DF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 xml:space="preserve">- flamastry kolorowe: 10 </w:t>
            </w:r>
            <w:proofErr w:type="spellStart"/>
            <w:r w:rsidRPr="00E67969">
              <w:rPr>
                <w:rFonts w:ascii="Garamond" w:hAnsi="Garamond" w:cs="Arial"/>
                <w:sz w:val="18"/>
                <w:szCs w:val="18"/>
              </w:rPr>
              <w:t>pakowań</w:t>
            </w:r>
            <w:proofErr w:type="spellEnd"/>
            <w:r w:rsidRPr="00E67969">
              <w:rPr>
                <w:rFonts w:ascii="Garamond" w:hAnsi="Garamond" w:cs="Arial"/>
                <w:sz w:val="18"/>
                <w:szCs w:val="18"/>
              </w:rPr>
              <w:t xml:space="preserve"> po 10 sztuk</w:t>
            </w:r>
          </w:p>
          <w:p w14:paraId="692C2208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marker czarny: 20 sztuk</w:t>
            </w:r>
          </w:p>
          <w:p w14:paraId="5D228E02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 xml:space="preserve">- marker </w:t>
            </w:r>
            <w:proofErr w:type="spellStart"/>
            <w:r w:rsidRPr="00E67969">
              <w:rPr>
                <w:rFonts w:ascii="Garamond" w:hAnsi="Garamond" w:cs="Arial"/>
                <w:sz w:val="18"/>
                <w:szCs w:val="18"/>
              </w:rPr>
              <w:t>niebiestki</w:t>
            </w:r>
            <w:proofErr w:type="spellEnd"/>
            <w:r w:rsidRPr="00E67969">
              <w:rPr>
                <w:rFonts w:ascii="Garamond" w:hAnsi="Garamond" w:cs="Arial"/>
                <w:sz w:val="18"/>
                <w:szCs w:val="18"/>
              </w:rPr>
              <w:t>: 20 sztuk</w:t>
            </w:r>
          </w:p>
          <w:p w14:paraId="11AEBB4C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marker czerwony: 20 sztuk</w:t>
            </w:r>
          </w:p>
          <w:p w14:paraId="7753FA8B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marker zielony: 20 sztuk</w:t>
            </w:r>
          </w:p>
          <w:p w14:paraId="6BBF9F94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- 50 sztuk karteczek samoprzylepnych</w:t>
            </w:r>
          </w:p>
          <w:p w14:paraId="3159DEFD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długopisy żelowe: 20 sztuk</w:t>
            </w:r>
          </w:p>
          <w:p w14:paraId="5FCC4AE1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 xml:space="preserve">- bibuła mix kolorów: 15 rolek  1 </w:t>
            </w:r>
            <w:proofErr w:type="spellStart"/>
            <w:r w:rsidRPr="00E67969">
              <w:rPr>
                <w:rFonts w:ascii="Garamond" w:hAnsi="Garamond" w:cs="Arial"/>
                <w:sz w:val="18"/>
                <w:szCs w:val="18"/>
              </w:rPr>
              <w:t>kpl</w:t>
            </w:r>
            <w:proofErr w:type="spellEnd"/>
            <w:r w:rsidRPr="00E67969">
              <w:rPr>
                <w:rFonts w:ascii="Garamond" w:hAnsi="Garamond" w:cs="Arial"/>
                <w:sz w:val="18"/>
                <w:szCs w:val="18"/>
              </w:rPr>
              <w:t>.</w:t>
            </w:r>
          </w:p>
          <w:p w14:paraId="3B6171B4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 xml:space="preserve">- nożyczki: 10 szt. </w:t>
            </w:r>
          </w:p>
          <w:p w14:paraId="1C0319B6" w14:textId="2453E9AC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klej 500 ml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E0920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B0D855" w14:textId="4661D3B0" w:rsidR="006E6672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kpl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680832" w14:textId="77AEBFDC" w:rsidR="006E6672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5A77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B5C0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5C4" w14:textId="53FB3DB9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F6ED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57D00A01" w14:textId="77777777" w:rsidTr="006E6672">
        <w:trPr>
          <w:trHeight w:val="283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8FDC1D" w14:textId="77777777" w:rsidR="006E6672" w:rsidRDefault="006E6672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A94F7C" w14:textId="77777777" w:rsidR="006E6672" w:rsidRDefault="006E6672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11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6F978B" w14:textId="6CF874E4" w:rsidR="006E6672" w:rsidRDefault="006E6672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  <w:p w14:paraId="28159C98" w14:textId="642F5EE6" w:rsidR="006E6672" w:rsidRDefault="006E6672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  <w:r w:rsidRPr="00611BA6">
              <w:rPr>
                <w:rFonts w:ascii="Garamond" w:hAnsi="Garamond" w:cs="Arial"/>
                <w:b/>
                <w:szCs w:val="20"/>
              </w:rPr>
              <w:t>Razem wartość oferty brutto (pozycje 1-</w:t>
            </w:r>
            <w:r>
              <w:rPr>
                <w:rFonts w:ascii="Garamond" w:hAnsi="Garamond" w:cs="Arial"/>
                <w:b/>
                <w:szCs w:val="20"/>
              </w:rPr>
              <w:t>7</w:t>
            </w:r>
            <w:r w:rsidRPr="00611BA6">
              <w:rPr>
                <w:rFonts w:ascii="Garamond" w:hAnsi="Garamond" w:cs="Arial"/>
                <w:b/>
                <w:szCs w:val="20"/>
              </w:rPr>
              <w:t>)</w:t>
            </w:r>
          </w:p>
          <w:p w14:paraId="342D5ADB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4738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14:paraId="0C870437" w14:textId="5E119715" w:rsidR="002402DA" w:rsidRDefault="00140A4D"/>
    <w:p w14:paraId="246A9589" w14:textId="77777777" w:rsidR="00A10583" w:rsidRPr="002441DB" w:rsidRDefault="00A10583" w:rsidP="00A10583">
      <w:pPr>
        <w:rPr>
          <w:rFonts w:ascii="Garamond" w:hAnsi="Garamond" w:cs="Arial"/>
        </w:rPr>
      </w:pPr>
      <w:r w:rsidRPr="00A10583">
        <w:rPr>
          <w:rFonts w:ascii="Garamond" w:hAnsi="Garamond" w:cs="Arial"/>
          <w:bCs/>
        </w:rPr>
        <w:lastRenderedPageBreak/>
        <w:t xml:space="preserve">Razem </w:t>
      </w:r>
      <w:r w:rsidRPr="002441DB">
        <w:rPr>
          <w:rFonts w:ascii="Garamond" w:hAnsi="Garamond" w:cs="Arial"/>
        </w:rPr>
        <w:t>słownie: .............................................................................................................................. złotych brutto</w:t>
      </w:r>
    </w:p>
    <w:p w14:paraId="58A8E267" w14:textId="77777777" w:rsidR="00A10583" w:rsidRPr="002441DB" w:rsidRDefault="00A10583" w:rsidP="00A10583">
      <w:pPr>
        <w:spacing w:line="360" w:lineRule="auto"/>
        <w:ind w:right="-455"/>
        <w:rPr>
          <w:rFonts w:ascii="Garamond" w:hAnsi="Garamond" w:cs="Arial"/>
        </w:rPr>
      </w:pPr>
      <w:r w:rsidRPr="002441DB">
        <w:rPr>
          <w:rFonts w:ascii="Garamond" w:hAnsi="Garamond" w:cs="Arial"/>
        </w:rPr>
        <w:t>Zastosowano stawkę podatku VAT ……….</w:t>
      </w:r>
      <w:r>
        <w:rPr>
          <w:rFonts w:ascii="Garamond" w:hAnsi="Garamond" w:cs="Arial"/>
        </w:rPr>
        <w:t xml:space="preserve"> </w:t>
      </w:r>
      <w:r w:rsidRPr="002441DB">
        <w:rPr>
          <w:rFonts w:ascii="Garamond" w:hAnsi="Garamond" w:cs="Arial"/>
        </w:rPr>
        <w:t>%.</w:t>
      </w:r>
    </w:p>
    <w:p w14:paraId="62025F0F" w14:textId="77777777" w:rsidR="00A10583" w:rsidRDefault="00A10583" w:rsidP="00A10583">
      <w:pPr>
        <w:ind w:left="709"/>
        <w:jc w:val="both"/>
        <w:rPr>
          <w:rFonts w:ascii="Garamond" w:hAnsi="Garamond" w:cs="Arial"/>
          <w:iCs/>
          <w:sz w:val="20"/>
        </w:rPr>
      </w:pPr>
    </w:p>
    <w:p w14:paraId="1005B3E5" w14:textId="77777777" w:rsidR="00A10583" w:rsidRDefault="00A10583" w:rsidP="00A10583">
      <w:pPr>
        <w:suppressAutoHyphens/>
        <w:ind w:firstLine="851"/>
        <w:rPr>
          <w:rFonts w:ascii="Garamond" w:hAnsi="Garamond" w:cs="Arial"/>
          <w:sz w:val="20"/>
          <w:lang w:eastAsia="ar-SA"/>
        </w:rPr>
      </w:pPr>
    </w:p>
    <w:p w14:paraId="45D30BD1" w14:textId="77777777" w:rsidR="00A10583" w:rsidRPr="002441DB" w:rsidRDefault="00A10583" w:rsidP="00A10583">
      <w:pPr>
        <w:suppressAutoHyphens/>
        <w:ind w:firstLine="851"/>
        <w:rPr>
          <w:rFonts w:ascii="Garamond" w:hAnsi="Garamond" w:cs="Arial"/>
          <w:sz w:val="20"/>
          <w:lang w:eastAsia="ar-SA"/>
        </w:rPr>
      </w:pPr>
      <w:r w:rsidRPr="002441DB">
        <w:rPr>
          <w:rFonts w:ascii="Garamond" w:hAnsi="Garamond" w:cs="Arial"/>
          <w:sz w:val="20"/>
          <w:lang w:eastAsia="ar-SA"/>
        </w:rPr>
        <w:t>.......................dnia ………………….</w:t>
      </w:r>
      <w:r>
        <w:rPr>
          <w:rFonts w:ascii="Garamond" w:hAnsi="Garamond" w:cs="Arial"/>
          <w:sz w:val="20"/>
          <w:lang w:eastAsia="ar-SA"/>
        </w:rPr>
        <w:t xml:space="preserve"> </w:t>
      </w:r>
      <w:r w:rsidRPr="002441DB">
        <w:rPr>
          <w:rFonts w:ascii="Garamond" w:hAnsi="Garamond" w:cs="Arial"/>
          <w:sz w:val="20"/>
          <w:lang w:eastAsia="ar-SA"/>
        </w:rPr>
        <w:t>2020 r.</w:t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  <w:t xml:space="preserve">  </w:t>
      </w:r>
    </w:p>
    <w:p w14:paraId="4C793089" w14:textId="77777777" w:rsidR="00A10583" w:rsidRPr="002441DB" w:rsidRDefault="00A10583" w:rsidP="00A10583">
      <w:pPr>
        <w:suppressAutoHyphens/>
        <w:spacing w:after="0" w:line="240" w:lineRule="auto"/>
        <w:ind w:left="9204"/>
        <w:rPr>
          <w:rFonts w:ascii="Arial" w:hAnsi="Arial" w:cs="Arial"/>
          <w:i/>
          <w:sz w:val="14"/>
          <w:szCs w:val="14"/>
          <w:lang w:eastAsia="ar-SA"/>
        </w:rPr>
      </w:pPr>
      <w:r w:rsidRPr="002441DB">
        <w:rPr>
          <w:rFonts w:ascii="Garamond" w:hAnsi="Garamond" w:cs="Arial"/>
          <w:i/>
          <w:sz w:val="20"/>
        </w:rPr>
        <w:t xml:space="preserve">                                                                                    </w:t>
      </w:r>
      <w:r w:rsidRPr="002441DB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..............................................................................................................</w:t>
      </w:r>
    </w:p>
    <w:p w14:paraId="6047C8EA" w14:textId="77777777" w:rsidR="00A10583" w:rsidRPr="002441DB" w:rsidRDefault="00A10583" w:rsidP="00A10583">
      <w:pPr>
        <w:suppressAutoHyphens/>
        <w:spacing w:after="0" w:line="240" w:lineRule="auto"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  <w:r w:rsidRPr="002441DB">
        <w:rPr>
          <w:rFonts w:ascii="Garamond" w:hAnsi="Garamond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aramond" w:hAnsi="Garamond" w:cs="Arial"/>
          <w:i/>
          <w:sz w:val="16"/>
          <w:szCs w:val="16"/>
        </w:rPr>
        <w:t xml:space="preserve">              </w:t>
      </w:r>
      <w:r w:rsidRPr="002441DB">
        <w:rPr>
          <w:rFonts w:ascii="Garamond" w:hAnsi="Garamond" w:cs="Arial"/>
          <w:i/>
          <w:sz w:val="16"/>
          <w:szCs w:val="16"/>
        </w:rPr>
        <w:t xml:space="preserve">   </w:t>
      </w:r>
      <w:r>
        <w:rPr>
          <w:rFonts w:ascii="Garamond" w:hAnsi="Garamond" w:cs="Arial"/>
          <w:i/>
          <w:sz w:val="16"/>
          <w:szCs w:val="16"/>
        </w:rPr>
        <w:t xml:space="preserve">          </w:t>
      </w:r>
      <w:r w:rsidRPr="002441DB">
        <w:rPr>
          <w:rFonts w:ascii="Garamond" w:hAnsi="Garamond" w:cs="Arial"/>
          <w:i/>
          <w:sz w:val="16"/>
          <w:szCs w:val="16"/>
        </w:rPr>
        <w:t>(pieczęć imienna i podpis osób/osoby uprawnionej do reprezentowania</w:t>
      </w:r>
    </w:p>
    <w:p w14:paraId="3CF3AE59" w14:textId="77777777" w:rsidR="00A10583" w:rsidRPr="002441DB" w:rsidRDefault="00A10583" w:rsidP="00A10583">
      <w:pPr>
        <w:suppressAutoHyphens/>
        <w:spacing w:after="0" w:line="240" w:lineRule="auto"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  <w:r w:rsidRPr="002441DB">
        <w:rPr>
          <w:rFonts w:ascii="Garamond" w:hAnsi="Garamond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aramond" w:hAnsi="Garamond" w:cs="Arial"/>
          <w:i/>
          <w:sz w:val="16"/>
          <w:szCs w:val="16"/>
        </w:rPr>
        <w:t xml:space="preserve">                        </w:t>
      </w:r>
      <w:r w:rsidRPr="002441DB">
        <w:rPr>
          <w:rFonts w:ascii="Garamond" w:hAnsi="Garamond" w:cs="Arial"/>
          <w:i/>
          <w:sz w:val="16"/>
          <w:szCs w:val="16"/>
        </w:rPr>
        <w:t>Wykonawcy i</w:t>
      </w:r>
      <w:r>
        <w:rPr>
          <w:rFonts w:ascii="Garamond" w:hAnsi="Garamond" w:cs="Arial"/>
          <w:i/>
          <w:sz w:val="16"/>
          <w:szCs w:val="16"/>
        </w:rPr>
        <w:t xml:space="preserve"> </w:t>
      </w:r>
      <w:r w:rsidRPr="002441DB">
        <w:rPr>
          <w:rFonts w:ascii="Garamond" w:hAnsi="Garamond" w:cs="Arial"/>
          <w:i/>
          <w:sz w:val="16"/>
          <w:szCs w:val="16"/>
        </w:rPr>
        <w:t>składania oświadczeń woli w jego imieniu)</w:t>
      </w:r>
    </w:p>
    <w:p w14:paraId="6B74510A" w14:textId="77777777" w:rsidR="00A10583" w:rsidRPr="002441DB" w:rsidRDefault="00A10583" w:rsidP="00A10583">
      <w:pPr>
        <w:suppressAutoHyphens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</w:p>
    <w:p w14:paraId="6855DC20" w14:textId="77777777" w:rsidR="00A10583" w:rsidRPr="00E16192" w:rsidRDefault="00A10583" w:rsidP="00A10583">
      <w:pPr>
        <w:ind w:left="709"/>
        <w:jc w:val="both"/>
        <w:rPr>
          <w:rFonts w:ascii="Garamond" w:hAnsi="Garamond" w:cs="Arial"/>
          <w:i/>
          <w:sz w:val="20"/>
        </w:rPr>
      </w:pPr>
    </w:p>
    <w:p w14:paraId="2D775B67" w14:textId="77777777" w:rsidR="001C722A" w:rsidRPr="005E7F71" w:rsidRDefault="001C722A" w:rsidP="001C722A">
      <w:pPr>
        <w:pStyle w:val="Akapitzlist"/>
        <w:ind w:left="0"/>
        <w:rPr>
          <w:b/>
          <w:bCs/>
          <w:sz w:val="24"/>
          <w:szCs w:val="24"/>
        </w:rPr>
      </w:pPr>
      <w:r w:rsidRPr="005E7F71">
        <w:rPr>
          <w:b/>
          <w:bCs/>
          <w:sz w:val="24"/>
          <w:szCs w:val="24"/>
          <w:vertAlign w:val="superscript"/>
        </w:rPr>
        <w:t>*</w:t>
      </w:r>
      <w:r w:rsidRPr="005E7F71">
        <w:rPr>
          <w:rFonts w:ascii="Garamond" w:hAnsi="Garamond" w:cs="Calibri"/>
          <w:b/>
          <w:bCs/>
          <w:sz w:val="24"/>
          <w:szCs w:val="24"/>
        </w:rPr>
        <w:t xml:space="preserve">  jeżeli dotyczy – sporządzony przez Wykonawcę opis oferowanych produktów równoważnych, ze wskazaniem części, której dotyczy</w:t>
      </w:r>
    </w:p>
    <w:p w14:paraId="7A6589F6" w14:textId="77777777" w:rsidR="00A10583" w:rsidRDefault="00A10583"/>
    <w:sectPr w:rsidR="00A10583" w:rsidSect="0024585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19822" w14:textId="77777777" w:rsidR="00245855" w:rsidRDefault="00245855" w:rsidP="00245855">
      <w:pPr>
        <w:spacing w:after="0" w:line="240" w:lineRule="auto"/>
      </w:pPr>
      <w:r>
        <w:separator/>
      </w:r>
    </w:p>
  </w:endnote>
  <w:endnote w:type="continuationSeparator" w:id="0">
    <w:p w14:paraId="36384A22" w14:textId="77777777" w:rsidR="00245855" w:rsidRDefault="00245855" w:rsidP="0024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3244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F11E7D7" w14:textId="77777777" w:rsidR="00C538CD" w:rsidRPr="00C538CD" w:rsidRDefault="009E320F" w:rsidP="009E320F">
        <w:pPr>
          <w:pStyle w:val="Stopka"/>
          <w:ind w:firstLine="1416"/>
          <w:jc w:val="right"/>
          <w:rPr>
            <w:sz w:val="16"/>
            <w:szCs w:val="16"/>
          </w:rPr>
        </w:pPr>
        <w:r>
          <w:t xml:space="preserve">    </w:t>
        </w:r>
        <w:r>
          <w:tab/>
        </w:r>
        <w:r w:rsidR="00C538CD" w:rsidRPr="00C538CD">
          <w:rPr>
            <w:sz w:val="16"/>
            <w:szCs w:val="16"/>
          </w:rPr>
          <w:fldChar w:fldCharType="begin"/>
        </w:r>
        <w:r w:rsidR="00C538CD" w:rsidRPr="00C538CD">
          <w:rPr>
            <w:sz w:val="16"/>
            <w:szCs w:val="16"/>
          </w:rPr>
          <w:instrText>PAGE   \* MERGEFORMAT</w:instrText>
        </w:r>
        <w:r w:rsidR="00C538CD" w:rsidRPr="00C538CD">
          <w:rPr>
            <w:sz w:val="16"/>
            <w:szCs w:val="16"/>
          </w:rPr>
          <w:fldChar w:fldCharType="separate"/>
        </w:r>
        <w:r w:rsidR="00C538CD" w:rsidRPr="00C538CD">
          <w:rPr>
            <w:sz w:val="16"/>
            <w:szCs w:val="16"/>
          </w:rPr>
          <w:t>2</w:t>
        </w:r>
        <w:r w:rsidR="00C538CD" w:rsidRPr="00C538CD">
          <w:rPr>
            <w:sz w:val="16"/>
            <w:szCs w:val="16"/>
          </w:rPr>
          <w:fldChar w:fldCharType="end"/>
        </w:r>
      </w:p>
    </w:sdtContent>
  </w:sdt>
  <w:p w14:paraId="0D4A2DF2" w14:textId="77777777" w:rsidR="00C538CD" w:rsidRDefault="00C53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0A695" w14:textId="77777777" w:rsidR="00245855" w:rsidRDefault="00245855" w:rsidP="00245855">
      <w:pPr>
        <w:spacing w:after="0" w:line="240" w:lineRule="auto"/>
      </w:pPr>
      <w:r>
        <w:separator/>
      </w:r>
    </w:p>
  </w:footnote>
  <w:footnote w:type="continuationSeparator" w:id="0">
    <w:p w14:paraId="2AF27940" w14:textId="77777777" w:rsidR="00245855" w:rsidRDefault="00245855" w:rsidP="0024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467" w:type="dxa"/>
      <w:jc w:val="center"/>
      <w:tblLayout w:type="fixed"/>
      <w:tblLook w:val="0000" w:firstRow="0" w:lastRow="0" w:firstColumn="0" w:lastColumn="0" w:noHBand="0" w:noVBand="0"/>
    </w:tblPr>
    <w:tblGrid>
      <w:gridCol w:w="5812"/>
      <w:gridCol w:w="4253"/>
      <w:gridCol w:w="3402"/>
    </w:tblGrid>
    <w:tr w:rsidR="00245855" w14:paraId="036FFFB9" w14:textId="77777777" w:rsidTr="00245855">
      <w:trPr>
        <w:trHeight w:val="926"/>
        <w:jc w:val="center"/>
      </w:trPr>
      <w:tc>
        <w:tcPr>
          <w:tcW w:w="5812" w:type="dxa"/>
          <w:shd w:val="clear" w:color="auto" w:fill="auto"/>
        </w:tcPr>
        <w:p w14:paraId="4232089F" w14:textId="009065DC" w:rsidR="00245855" w:rsidRDefault="00245855" w:rsidP="00245855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t xml:space="preserve"> </w:t>
          </w:r>
          <w:r>
            <w:rPr>
              <w:noProof/>
              <w:lang w:eastAsia="pl-PL"/>
            </w:rPr>
            <w:drawing>
              <wp:inline distT="0" distB="0" distL="0" distR="0" wp14:anchorId="19FA375B" wp14:editId="28CE7EA3">
                <wp:extent cx="1123950" cy="581025"/>
                <wp:effectExtent l="0" t="0" r="0" b="9525"/>
                <wp:docPr id="29" name="Obraz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9" t="-56" r="-29" b="-5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81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                     </w:t>
          </w:r>
          <w:r>
            <w:rPr>
              <w:noProof/>
            </w:rPr>
            <w:drawing>
              <wp:inline distT="0" distB="0" distL="0" distR="0" wp14:anchorId="2F2A4AA4" wp14:editId="1877092F">
                <wp:extent cx="1552575" cy="514350"/>
                <wp:effectExtent l="0" t="0" r="9525" b="0"/>
                <wp:docPr id="30" name="Obraz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63" t="-189" r="-63" b="-1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514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shd w:val="clear" w:color="auto" w:fill="auto"/>
        </w:tcPr>
        <w:p w14:paraId="1481989A" w14:textId="67C2CD24" w:rsidR="00245855" w:rsidRDefault="00245855" w:rsidP="00245855">
          <w:pPr>
            <w:pStyle w:val="Nagwek"/>
            <w:jc w:val="center"/>
            <w:rPr>
              <w:lang w:eastAsia="pl-PL"/>
            </w:rPr>
          </w:pPr>
          <w:r>
            <w:rPr>
              <w:lang w:eastAsia="pl-PL"/>
            </w:rPr>
            <w:t xml:space="preserve">    </w:t>
          </w:r>
          <w:r>
            <w:rPr>
              <w:noProof/>
              <w:lang w:eastAsia="pl-PL"/>
            </w:rPr>
            <w:drawing>
              <wp:inline distT="0" distB="0" distL="0" distR="0" wp14:anchorId="047E5258" wp14:editId="6D3AC23C">
                <wp:extent cx="2047875" cy="438150"/>
                <wp:effectExtent l="0" t="0" r="9525" b="0"/>
                <wp:docPr id="31" name="Obraz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53" r="-11" b="-5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38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4AC80172" w14:textId="77777777" w:rsidR="00245855" w:rsidRDefault="00245855" w:rsidP="00245855">
          <w:pPr>
            <w:pStyle w:val="Nagwek"/>
            <w:snapToGrid w:val="0"/>
            <w:jc w:val="right"/>
            <w:rPr>
              <w:lang w:eastAsia="pl-PL"/>
            </w:rPr>
          </w:pPr>
        </w:p>
        <w:p w14:paraId="75EC4069" w14:textId="5D826BFC" w:rsidR="00245855" w:rsidRDefault="00245855" w:rsidP="00245855">
          <w:pPr>
            <w:pStyle w:val="Nagwek"/>
            <w:jc w:val="right"/>
            <w:rPr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7D29A87F" wp14:editId="2E46644B">
                <wp:extent cx="1704975" cy="476250"/>
                <wp:effectExtent l="0" t="0" r="9525" b="0"/>
                <wp:docPr id="32" name="Obraz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" t="-31" r="-8" b="-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C98FEC2" w14:textId="61D0953D" w:rsidR="00245855" w:rsidRDefault="00245855">
    <w:pPr>
      <w:pStyle w:val="Nagwek"/>
    </w:pPr>
  </w:p>
  <w:p w14:paraId="7986C0EC" w14:textId="77777777" w:rsidR="00245855" w:rsidRDefault="00245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11805"/>
    <w:multiLevelType w:val="hybridMultilevel"/>
    <w:tmpl w:val="63D2F632"/>
    <w:lvl w:ilvl="0" w:tplc="7AC2D762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83"/>
    <w:rsid w:val="000427B3"/>
    <w:rsid w:val="00070254"/>
    <w:rsid w:val="001118B3"/>
    <w:rsid w:val="00140A4D"/>
    <w:rsid w:val="001C722A"/>
    <w:rsid w:val="001E1775"/>
    <w:rsid w:val="00245855"/>
    <w:rsid w:val="00257372"/>
    <w:rsid w:val="00302E84"/>
    <w:rsid w:val="00364BF9"/>
    <w:rsid w:val="00384293"/>
    <w:rsid w:val="003D769D"/>
    <w:rsid w:val="003F0B64"/>
    <w:rsid w:val="00465897"/>
    <w:rsid w:val="00482C17"/>
    <w:rsid w:val="004F325C"/>
    <w:rsid w:val="00565B0E"/>
    <w:rsid w:val="00590B2C"/>
    <w:rsid w:val="00591403"/>
    <w:rsid w:val="005F1DA4"/>
    <w:rsid w:val="006E6672"/>
    <w:rsid w:val="0075635E"/>
    <w:rsid w:val="007C5E83"/>
    <w:rsid w:val="007E36AE"/>
    <w:rsid w:val="00947734"/>
    <w:rsid w:val="00952614"/>
    <w:rsid w:val="009C2DBC"/>
    <w:rsid w:val="009E320F"/>
    <w:rsid w:val="00A10583"/>
    <w:rsid w:val="00A13782"/>
    <w:rsid w:val="00AC652D"/>
    <w:rsid w:val="00BB0EDF"/>
    <w:rsid w:val="00C538CD"/>
    <w:rsid w:val="00C77B9C"/>
    <w:rsid w:val="00C830BD"/>
    <w:rsid w:val="00C85523"/>
    <w:rsid w:val="00CC044B"/>
    <w:rsid w:val="00D61AF4"/>
    <w:rsid w:val="00D82CD8"/>
    <w:rsid w:val="00D87EDA"/>
    <w:rsid w:val="00DC3F3D"/>
    <w:rsid w:val="00DD5E00"/>
    <w:rsid w:val="00E67969"/>
    <w:rsid w:val="00ED1CED"/>
    <w:rsid w:val="00F9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22DA71"/>
  <w15:chartTrackingRefBased/>
  <w15:docId w15:val="{C82CFA58-72AF-4223-8712-6329CAF2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C5E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C5E83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24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855"/>
  </w:style>
  <w:style w:type="paragraph" w:styleId="Stopka">
    <w:name w:val="footer"/>
    <w:basedOn w:val="Normalny"/>
    <w:link w:val="StopkaZnak"/>
    <w:uiPriority w:val="99"/>
    <w:unhideWhenUsed/>
    <w:rsid w:val="0024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855"/>
  </w:style>
  <w:style w:type="paragraph" w:styleId="Tekstpodstawowy">
    <w:name w:val="Body Text"/>
    <w:basedOn w:val="Normalny"/>
    <w:link w:val="TekstpodstawowyZnak"/>
    <w:rsid w:val="007E36A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E36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3D942-5629-4037-9161-DA058EE5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1301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11</cp:revision>
  <cp:lastPrinted>2020-09-17T08:36:00Z</cp:lastPrinted>
  <dcterms:created xsi:type="dcterms:W3CDTF">2020-09-10T11:37:00Z</dcterms:created>
  <dcterms:modified xsi:type="dcterms:W3CDTF">2020-09-17T08:36:00Z</dcterms:modified>
</cp:coreProperties>
</file>