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097F8" w14:textId="39971DC8" w:rsidR="004653EB" w:rsidRDefault="004653EB" w:rsidP="004653EB">
      <w:pPr>
        <w:pStyle w:val="Style1"/>
        <w:widowControl/>
        <w:jc w:val="right"/>
        <w:rPr>
          <w:rStyle w:val="FontStyle25"/>
          <w:rFonts w:ascii="Calibri" w:hAnsi="Calibri" w:cstheme="majorHAnsi"/>
          <w:sz w:val="22"/>
          <w:szCs w:val="22"/>
        </w:rPr>
      </w:pPr>
      <w:r w:rsidRPr="00B211F8">
        <w:rPr>
          <w:rStyle w:val="FontStyle25"/>
          <w:rFonts w:ascii="Calibri" w:hAnsi="Calibri" w:cstheme="majorHAnsi"/>
          <w:sz w:val="22"/>
          <w:szCs w:val="22"/>
        </w:rPr>
        <w:t xml:space="preserve">Załącznik nr </w:t>
      </w:r>
      <w:r w:rsidR="002B4F85" w:rsidRPr="00B211F8">
        <w:rPr>
          <w:rStyle w:val="FontStyle25"/>
          <w:rFonts w:ascii="Calibri" w:hAnsi="Calibri" w:cstheme="majorHAnsi"/>
          <w:sz w:val="22"/>
          <w:szCs w:val="22"/>
        </w:rPr>
        <w:t>3</w:t>
      </w:r>
      <w:r w:rsidRPr="00B211F8">
        <w:rPr>
          <w:rStyle w:val="FontStyle25"/>
          <w:rFonts w:ascii="Calibri" w:hAnsi="Calibri" w:cstheme="majorHAnsi"/>
          <w:sz w:val="22"/>
          <w:szCs w:val="22"/>
        </w:rPr>
        <w:t xml:space="preserve"> do SIWZ</w:t>
      </w:r>
    </w:p>
    <w:p w14:paraId="755E64A2" w14:textId="4659EE9B" w:rsidR="003E76E3" w:rsidRDefault="003E76E3" w:rsidP="003E76E3">
      <w:pPr>
        <w:pStyle w:val="Style1"/>
        <w:widowControl/>
        <w:jc w:val="center"/>
        <w:rPr>
          <w:rStyle w:val="FontStyle25"/>
          <w:rFonts w:ascii="Calibri" w:hAnsi="Calibri" w:cstheme="majorHAnsi"/>
          <w:sz w:val="22"/>
          <w:szCs w:val="22"/>
        </w:rPr>
      </w:pPr>
      <w:r>
        <w:rPr>
          <w:rStyle w:val="FontStyle25"/>
          <w:rFonts w:ascii="Calibri" w:hAnsi="Calibri" w:cstheme="majorHAnsi"/>
          <w:sz w:val="22"/>
          <w:szCs w:val="22"/>
        </w:rPr>
        <w:t xml:space="preserve">OPIS PRZEDMIOTU ZAMÓWIENIA </w:t>
      </w:r>
      <w:r w:rsidR="00E75187">
        <w:rPr>
          <w:rStyle w:val="FontStyle25"/>
          <w:rFonts w:ascii="Calibri" w:hAnsi="Calibri" w:cstheme="majorHAnsi"/>
          <w:sz w:val="22"/>
          <w:szCs w:val="22"/>
        </w:rPr>
        <w:t>–</w:t>
      </w:r>
      <w:r>
        <w:rPr>
          <w:rStyle w:val="FontStyle25"/>
          <w:rFonts w:ascii="Calibri" w:hAnsi="Calibri" w:cstheme="majorHAnsi"/>
          <w:sz w:val="22"/>
          <w:szCs w:val="22"/>
        </w:rPr>
        <w:t xml:space="preserve"> OGÓLNY</w:t>
      </w:r>
    </w:p>
    <w:p w14:paraId="2D04C9E3" w14:textId="77777777" w:rsidR="00E75187" w:rsidRPr="00B211F8" w:rsidRDefault="00E75187" w:rsidP="003E76E3">
      <w:pPr>
        <w:pStyle w:val="Style1"/>
        <w:widowControl/>
        <w:jc w:val="center"/>
        <w:rPr>
          <w:rStyle w:val="FontStyle25"/>
          <w:rFonts w:ascii="Calibri" w:hAnsi="Calibri" w:cstheme="majorHAnsi"/>
          <w:sz w:val="22"/>
          <w:szCs w:val="22"/>
        </w:rPr>
      </w:pPr>
    </w:p>
    <w:p w14:paraId="36FEA8B5" w14:textId="5A3ED1CE" w:rsidR="004744DF" w:rsidRPr="00412F4A" w:rsidRDefault="004744DF" w:rsidP="004744DF">
      <w:pPr>
        <w:pStyle w:val="Nagwek2"/>
        <w:rPr>
          <w:rFonts w:ascii="Calibri" w:hAnsi="Calibri" w:cstheme="majorHAnsi"/>
          <w:b/>
          <w:bCs/>
          <w:szCs w:val="22"/>
        </w:rPr>
      </w:pPr>
      <w:bookmarkStart w:id="0" w:name="_Toc494810376"/>
      <w:r w:rsidRPr="00B211F8">
        <w:rPr>
          <w:rFonts w:ascii="Calibri" w:hAnsi="Calibri" w:cstheme="majorHAnsi"/>
          <w:b/>
          <w:bCs/>
          <w:szCs w:val="22"/>
        </w:rPr>
        <w:t>Wymagania wspólne</w:t>
      </w:r>
      <w:bookmarkEnd w:id="0"/>
    </w:p>
    <w:p w14:paraId="709E8A1F" w14:textId="265B9CF4" w:rsidR="004744DF" w:rsidRDefault="004744DF" w:rsidP="00412F4A">
      <w:pPr>
        <w:spacing w:line="276" w:lineRule="auto"/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>Poniżej przedstawiono wymagania, które będą musiały spełnić wszystkie systemy informatyczne</w:t>
      </w:r>
      <w:r w:rsidR="00E5178C" w:rsidRPr="00B211F8">
        <w:rPr>
          <w:rFonts w:ascii="Calibri" w:hAnsi="Calibri" w:cstheme="majorHAnsi"/>
          <w:sz w:val="22"/>
          <w:szCs w:val="22"/>
        </w:rPr>
        <w:t xml:space="preserve">, urządzenia, </w:t>
      </w:r>
      <w:r w:rsidRPr="00B211F8">
        <w:rPr>
          <w:rFonts w:ascii="Calibri" w:hAnsi="Calibri" w:cstheme="majorHAnsi"/>
          <w:sz w:val="22"/>
          <w:szCs w:val="22"/>
        </w:rPr>
        <w:t>planowe do zakupu i wdrożenia w ramach projektu.</w:t>
      </w:r>
    </w:p>
    <w:p w14:paraId="23A115F5" w14:textId="77777777" w:rsidR="00412F4A" w:rsidRPr="00B211F8" w:rsidRDefault="00412F4A" w:rsidP="00412F4A">
      <w:pPr>
        <w:spacing w:line="276" w:lineRule="auto"/>
        <w:jc w:val="both"/>
        <w:rPr>
          <w:rFonts w:ascii="Calibri" w:hAnsi="Calibri" w:cstheme="majorHAnsi"/>
          <w:sz w:val="22"/>
          <w:szCs w:val="22"/>
        </w:rPr>
      </w:pPr>
    </w:p>
    <w:p w14:paraId="78DB8604" w14:textId="57EE7F95" w:rsidR="004744DF" w:rsidRPr="00412F4A" w:rsidRDefault="004744DF" w:rsidP="004744DF">
      <w:pPr>
        <w:pStyle w:val="Nagwek2"/>
        <w:rPr>
          <w:rFonts w:ascii="Calibri" w:hAnsi="Calibri" w:cstheme="majorHAnsi"/>
          <w:b/>
          <w:bCs/>
          <w:szCs w:val="22"/>
        </w:rPr>
      </w:pPr>
      <w:bookmarkStart w:id="1" w:name="_Toc443913836"/>
      <w:bookmarkStart w:id="2" w:name="_Toc494810377"/>
      <w:r w:rsidRPr="00B211F8">
        <w:rPr>
          <w:rFonts w:ascii="Calibri" w:hAnsi="Calibri" w:cstheme="majorHAnsi"/>
          <w:b/>
          <w:bCs/>
          <w:szCs w:val="22"/>
        </w:rPr>
        <w:t>Zgodność z przepisami prawa</w:t>
      </w:r>
      <w:bookmarkEnd w:id="1"/>
      <w:bookmarkEnd w:id="2"/>
    </w:p>
    <w:p w14:paraId="65B1D75B" w14:textId="6D630246" w:rsidR="004744DF" w:rsidRDefault="004744DF" w:rsidP="00412F4A">
      <w:pPr>
        <w:spacing w:line="276" w:lineRule="auto"/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>System musi być dostosowany do przepisów prawa polskiego, w szczególności być zgodny</w:t>
      </w:r>
      <w:r w:rsidRPr="00B211F8">
        <w:rPr>
          <w:rFonts w:ascii="Calibri" w:hAnsi="Calibri" w:cstheme="majorHAnsi"/>
          <w:sz w:val="22"/>
          <w:szCs w:val="22"/>
        </w:rPr>
        <w:br/>
        <w:t xml:space="preserve">z następującymi aktami prawnymi w zakresie, w jakim dotyczą one systemów teleinformatycznych </w:t>
      </w:r>
      <w:r w:rsidR="00B211F8">
        <w:rPr>
          <w:rFonts w:ascii="Calibri" w:hAnsi="Calibri" w:cstheme="majorHAnsi"/>
          <w:sz w:val="22"/>
          <w:szCs w:val="22"/>
        </w:rPr>
        <w:br/>
      </w:r>
      <w:r w:rsidRPr="00B211F8">
        <w:rPr>
          <w:rFonts w:ascii="Calibri" w:hAnsi="Calibri" w:cstheme="majorHAnsi"/>
          <w:sz w:val="22"/>
          <w:szCs w:val="22"/>
        </w:rPr>
        <w:t>i świadczenia usług publicznych drogą elektroniczną:</w:t>
      </w:r>
    </w:p>
    <w:p w14:paraId="0A5B1851" w14:textId="77777777" w:rsidR="00412F4A" w:rsidRPr="00B211F8" w:rsidRDefault="00412F4A" w:rsidP="00412F4A">
      <w:pPr>
        <w:spacing w:line="276" w:lineRule="auto"/>
        <w:jc w:val="both"/>
        <w:rPr>
          <w:rFonts w:ascii="Calibri" w:hAnsi="Calibri" w:cstheme="majorHAnsi"/>
          <w:sz w:val="22"/>
          <w:szCs w:val="22"/>
        </w:rPr>
      </w:pPr>
    </w:p>
    <w:tbl>
      <w:tblPr>
        <w:tblStyle w:val="Tabelasiatki5ciemna1"/>
        <w:tblW w:w="0" w:type="auto"/>
        <w:tblLook w:val="0420" w:firstRow="1" w:lastRow="0" w:firstColumn="0" w:lastColumn="0" w:noHBand="0" w:noVBand="1"/>
      </w:tblPr>
      <w:tblGrid>
        <w:gridCol w:w="645"/>
        <w:gridCol w:w="5729"/>
        <w:gridCol w:w="2627"/>
      </w:tblGrid>
      <w:tr w:rsidR="004744DF" w:rsidRPr="00B211F8" w14:paraId="44AE99D7" w14:textId="77777777" w:rsidTr="00B21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45" w:type="dxa"/>
            <w:tcBorders>
              <w:bottom w:val="single" w:sz="4" w:space="0" w:color="000000" w:themeColor="text1"/>
            </w:tcBorders>
          </w:tcPr>
          <w:p w14:paraId="729FBDE2" w14:textId="4FA689E1" w:rsidR="004744DF" w:rsidRPr="00B211F8" w:rsidRDefault="004744DF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Lp.</w:t>
            </w:r>
          </w:p>
        </w:tc>
        <w:tc>
          <w:tcPr>
            <w:tcW w:w="5729" w:type="dxa"/>
            <w:tcBorders>
              <w:bottom w:val="single" w:sz="4" w:space="0" w:color="000000" w:themeColor="text1"/>
            </w:tcBorders>
          </w:tcPr>
          <w:p w14:paraId="754482A8" w14:textId="77777777" w:rsidR="004744DF" w:rsidRPr="00B211F8" w:rsidRDefault="004744DF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Akt prawny</w:t>
            </w:r>
          </w:p>
        </w:tc>
        <w:tc>
          <w:tcPr>
            <w:tcW w:w="2627" w:type="dxa"/>
            <w:tcBorders>
              <w:bottom w:val="single" w:sz="4" w:space="0" w:color="000000" w:themeColor="text1"/>
            </w:tcBorders>
          </w:tcPr>
          <w:p w14:paraId="60555519" w14:textId="6388A7F9" w:rsidR="004744DF" w:rsidRPr="00B211F8" w:rsidRDefault="004744DF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Dziennik Ustaw</w:t>
            </w:r>
          </w:p>
        </w:tc>
      </w:tr>
      <w:tr w:rsidR="00E15181" w:rsidRPr="00B211F8" w14:paraId="40FD0F6F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950AD4F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1</w:t>
            </w: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715B898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Ustawa z dnia 14 czerwca 1960 r. Kodeks postępowania administracyjnego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5773AB" w14:textId="4B763C8E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eastAsia="MS MinNew Roman" w:hAnsi="Calibri" w:cstheme="majorHAnsi"/>
                <w:sz w:val="22"/>
                <w:szCs w:val="22"/>
              </w:rPr>
              <w:t>Dz.U. 2017 poz. 1257</w:t>
            </w:r>
          </w:p>
        </w:tc>
      </w:tr>
      <w:tr w:rsidR="00E15181" w:rsidRPr="00B211F8" w14:paraId="20AD3AA1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745E486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F5CC24B" w14:textId="0CA0F24C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Ministra Administracji i Cyfryzacji z dnia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6 marca 2012 r. w sprawie wzoru i sposobu prowadzenia metryki sprawy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4969A61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2012 poz. 250</w:t>
            </w:r>
          </w:p>
        </w:tc>
      </w:tr>
      <w:tr w:rsidR="00E15181" w:rsidRPr="00B211F8" w14:paraId="73C8D6C5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0AEFF97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901A2C" w14:textId="51BB353B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Rady Ministrów z dnia 8 stycznia 2002 r.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w sprawie organizacji przyjmowania i rozpatrywania skarg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i wniosków.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48ED6A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2002 nr 5 poz. 46</w:t>
            </w:r>
          </w:p>
        </w:tc>
      </w:tr>
      <w:tr w:rsidR="00E15181" w:rsidRPr="00B211F8" w14:paraId="10FA9122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AE4268B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2</w:t>
            </w: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A7A0C1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Ustawa z dnia 14 lipca 1983 r. o narodowym zasobie archiwalnym i archiwach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2CEC223" w14:textId="7C25D88D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eastAsia="MS MinNew Roman" w:hAnsi="Calibri" w:cstheme="majorHAnsi"/>
                <w:sz w:val="22"/>
                <w:szCs w:val="22"/>
              </w:rPr>
              <w:t>Dz.U. 2016 poz. 1506</w:t>
            </w:r>
          </w:p>
        </w:tc>
      </w:tr>
      <w:tr w:rsidR="00E15181" w:rsidRPr="00B211F8" w14:paraId="38B2DA5C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E85B6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77C9872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Rozporządzenie Prezesa Rady Ministrów z dnia 18 stycznia 2011 r. w sprawie instrukcji kancelaryjnej, jednolitych rzeczowych wykazów akt oraz instrukcji w sprawie organizacji i zakresu działania archiwów zakładowych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F114AC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2011 nr 14 poz. 67</w:t>
            </w:r>
          </w:p>
        </w:tc>
      </w:tr>
      <w:tr w:rsidR="00E15181" w:rsidRPr="00B211F8" w14:paraId="6E8E3761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06FC706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331596" w14:textId="15F6048F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Ministra Spraw Wewnętrznych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i Administracji z dnia 30 października 2006 r. w sprawie niezbędnych elementów struktury dokumentów elektronicznych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1CFDE42" w14:textId="05B01872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2006 nr 206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1517</w:t>
            </w:r>
          </w:p>
        </w:tc>
      </w:tr>
      <w:tr w:rsidR="00E15181" w:rsidRPr="00B211F8" w14:paraId="3B106B67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EF8749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025EFE2" w14:textId="1A19998C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Ministra Spraw Wewnętrznych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i Administracji z dnia 30 października 2006 r. w sprawie szczegółowego sposobu postępowania z dokumentami elektronicznymi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A708E50" w14:textId="43046CFB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2006 nr 206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1518</w:t>
            </w:r>
          </w:p>
        </w:tc>
      </w:tr>
      <w:tr w:rsidR="00E15181" w:rsidRPr="00B211F8" w14:paraId="286034DB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FF52E2C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BF9536E" w14:textId="63246128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Ministra Spraw Wewnętrznych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i Administracji z dnia 2 listopada 2006 r. w sprawie wymagań technicznych formatów zapisu i informatycznych nośników danych, na których utrwalono materiały archiwalne przekazywane do archiwów państwowych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029022" w14:textId="1BD5B6C6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2006 nr 206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1519</w:t>
            </w:r>
          </w:p>
        </w:tc>
      </w:tr>
      <w:tr w:rsidR="00E15181" w:rsidRPr="00B211F8" w14:paraId="2C565006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DD87A7F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E011CF" w14:textId="2F04391F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Ministra Kultury i Dziedzictwa Narodowego z dnia 20 października 2015 r. w sprawie klasyfikowania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i kwalifikowania dokumentacji, przekazywania materiałów archiwalnych do archiwów państwowych i brakowania dokumentacji niearchiwalnej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180A77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2015 poz. 1743</w:t>
            </w:r>
          </w:p>
        </w:tc>
      </w:tr>
      <w:tr w:rsidR="00E15181" w:rsidRPr="00B211F8" w14:paraId="0BDEF53B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48B306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E08B38A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Ustawa z dnia 29 sierpnia 1997 r. o ochronie danych osobowych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DC7E1E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1997 nr 133 poz. 883</w:t>
            </w:r>
          </w:p>
        </w:tc>
      </w:tr>
      <w:tr w:rsidR="00E15181" w:rsidRPr="00B211F8" w14:paraId="2CE85F94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37291FC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D5710D7" w14:textId="13FFD0EB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Ministra Spraw Wewnętrznych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i Administracji z dnia 29 kwietnia 2004 r. w sprawie dokumentacji przetwarzania danych osobowych oraz warunków technicznych i organizacyjnych, jakim powinny odpowiadać urządzenia i systemy informatyczne służące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do przetwarzania danych osobowych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02DECF5" w14:textId="401E8FFF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2004 nr 100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1024</w:t>
            </w:r>
          </w:p>
        </w:tc>
      </w:tr>
      <w:tr w:rsidR="00E15181" w:rsidRPr="00B211F8" w14:paraId="0444957F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9A76BE2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4</w:t>
            </w: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E2A301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Ustawa z dnia 5 sierpnia 2010 r. o ochronie informacji niejawnych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943867" w14:textId="5C9E3BC1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2010 nr 182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poz. 1228 </w:t>
            </w:r>
          </w:p>
        </w:tc>
      </w:tr>
      <w:tr w:rsidR="00E15181" w:rsidRPr="00B211F8" w14:paraId="21D96EA7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627E6F4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3D3F2DC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Rozporządzenie Prezesa Rady Ministrów z dnia 20 lipca 2011 r. w sprawie podstawowych wymagań bezpieczeństwa teleinformatycznego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518C20F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2011 nr 159 poz. 948</w:t>
            </w:r>
          </w:p>
        </w:tc>
      </w:tr>
      <w:tr w:rsidR="00E15181" w:rsidRPr="00B211F8" w14:paraId="223CF0AD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D76AECC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5</w:t>
            </w: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1C8F71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Ustawa z dnia 6 września 2001 r. o dostępie do informacji publicznej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BB7B8E5" w14:textId="6F86FE8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2001 nr 112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1198</w:t>
            </w:r>
          </w:p>
        </w:tc>
      </w:tr>
      <w:tr w:rsidR="00E15181" w:rsidRPr="00B211F8" w14:paraId="6D6DE2D3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6E9DB44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8D7EF2" w14:textId="57FE94C5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Rady Ministrów z dnia 12 marca 2014 r.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w sprawie Centralnego Repozytorium Informacji Publicznej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4BC914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2014 nr 0 poz. 361</w:t>
            </w:r>
          </w:p>
        </w:tc>
      </w:tr>
      <w:tr w:rsidR="00E15181" w:rsidRPr="00B211F8" w14:paraId="141EE9E2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BA39B56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8AEE43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Rozporządzenie Ministra Administracji i Cyfryzacji z dnia 17 stycznia 2012 r. w sprawie wzoru wniosku o ponowne wykorzystywanie informacji publicznej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2E346C5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2012 nr 0 poz. 94</w:t>
            </w:r>
          </w:p>
        </w:tc>
      </w:tr>
      <w:tr w:rsidR="00E15181" w:rsidRPr="00B211F8" w14:paraId="6D2AE47D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0FF2F63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8C9A9DA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Rozporządzenie Ministra Spraw Wewnętrznych i Administracji z dnia 18 stycznia 2007 r. w sprawie Biuletynu Informacji Publicznej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B85F593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2007 nr 10 poz. 68</w:t>
            </w:r>
          </w:p>
        </w:tc>
      </w:tr>
      <w:tr w:rsidR="00E15181" w:rsidRPr="00B211F8" w14:paraId="7EF73262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18C7251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6</w:t>
            </w: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0A5E47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Ustawa z dnia 18 września 2001 r. o podpisie elektronicznym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CF7CE5" w14:textId="28DF7988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2001 nr 130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1450</w:t>
            </w:r>
          </w:p>
        </w:tc>
      </w:tr>
      <w:tr w:rsidR="00E15181" w:rsidRPr="00B211F8" w14:paraId="495B2B39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54C798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7A04F0" w14:textId="590A501F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Rady Ministrów z dnia 7 sierpnia 2002 r.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w sprawie określenia warunków technicznych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o organizacyjnych dla kwalifikowanych podmiotów świadczących usługi certyfikacyjne, polityk certyfikacji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dla kwalifikowanych certyfikatów wydawanych przez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te podmioty oraz warunków technicznych dla bezpiecznych urządzeń służących do składania i weryfikacji podpisu elektronicznego.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1C2242" w14:textId="20460CE2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2002 nr 128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1094</w:t>
            </w:r>
          </w:p>
        </w:tc>
      </w:tr>
      <w:tr w:rsidR="00E15181" w:rsidRPr="00B211F8" w14:paraId="59A1BBE5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95FD1A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7</w:t>
            </w: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A1BAEA8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Ustawa z dnia 18 lipca 2002 r. o świadczeniu usług drogą elektroniczną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3081F33" w14:textId="3A68EF9A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2002 nr 144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1204</w:t>
            </w:r>
          </w:p>
        </w:tc>
      </w:tr>
      <w:tr w:rsidR="00E15181" w:rsidRPr="00B211F8" w14:paraId="29129481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CB22E43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8</w:t>
            </w: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AA593A9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Ustawa z dnia 17 lutego 2005 r. o informatyzacji działalności podmiotów realizujących zadania publiczne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1E93A2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2005 nr 64 poz. 565</w:t>
            </w:r>
          </w:p>
        </w:tc>
      </w:tr>
      <w:tr w:rsidR="00E15181" w:rsidRPr="00B211F8" w14:paraId="711D294C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8D7ECDC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EA67F27" w14:textId="0DDDF4F8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Rady Ministrów z dnia 27 września 2005 r.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w sprawie sposobu, zakresu i trybu udostępniania danych zgromadzonych w rejestrze publicznym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68BCBA" w14:textId="66BCB4F2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2005 nr 205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1692</w:t>
            </w:r>
          </w:p>
        </w:tc>
      </w:tr>
      <w:tr w:rsidR="00E15181" w:rsidRPr="00B211F8" w14:paraId="3BA4FC9E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6C64106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EB932C1" w14:textId="71CFE3AC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Rozporządzenie Ministra Spraw Wewnętrznych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t xml:space="preserve">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i Administracji z dnia 21 kwietnia 2011 r. w sprawie szczegółowych warunków organizacyjnych i technicznych, które powinien spełniać system teleinformatyczny służący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do identyfikacji użytkowników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DD236E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2011 nr 93 poz. 545</w:t>
            </w:r>
          </w:p>
        </w:tc>
      </w:tr>
      <w:tr w:rsidR="00E15181" w:rsidRPr="00B211F8" w14:paraId="5AA4855B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37C0214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689A74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Prezesa Rady Ministrów z dnia 14 września 2011 r. w sprawie sporządzania pism w formie dokumentów elektronicznych, doręczania dokumentów elektronicznych </w:t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lastRenderedPageBreak/>
              <w:t>oraz udostępniania formularzy, wzorów i kopii dokumentów elektronicznych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9F7CE" w14:textId="7076851F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lastRenderedPageBreak/>
              <w:t xml:space="preserve">Dz.U. 2011 nr 206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1216</w:t>
            </w:r>
          </w:p>
        </w:tc>
      </w:tr>
      <w:tr w:rsidR="00E15181" w:rsidRPr="00B211F8" w14:paraId="6B8AC4E3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49CE6FF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56B6E7" w14:textId="3A824CDC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Rady Ministrów z dnia 12 kwietnia 2012 r.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w sprawie Krajowych Ram Interoperacyjności, minimalnych wymagań dla rejestrów publicznych i wymiany informacji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w postaci elektronicznej oraz minimalnych wymagań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dla systemów teleinformatycznych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B395E9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2012 nr 0 poz. 526</w:t>
            </w:r>
          </w:p>
        </w:tc>
      </w:tr>
      <w:tr w:rsidR="00E15181" w:rsidRPr="00B211F8" w14:paraId="07870150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5B02FFA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32D58DF" w14:textId="1D756C91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Ministra Administracji i Cyfryzacji z dnia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6 maja 2014 r. w sprawie zakresu i warunków korzystania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z elektronicznej platformy usług administracji publicznej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DB72EB0" w14:textId="77777777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Dz.U. 2014 nr 0 poz. 584</w:t>
            </w:r>
          </w:p>
        </w:tc>
      </w:tr>
      <w:tr w:rsidR="00E15181" w:rsidRPr="00B211F8" w14:paraId="235BFDA9" w14:textId="77777777" w:rsidTr="00B21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14A18B3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2A28588" w14:textId="7BC1CA36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Rozporządzenie Ministra Nauki i Informatyzacji z dnia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19 października 2005 r. w sprawie testów akceptacyjnych oraz badania oprogramowania interfejsowego i weryfikacji tego badania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E9B1EF" w14:textId="7BB09145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2005 nr 217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1836</w:t>
            </w:r>
          </w:p>
        </w:tc>
      </w:tr>
      <w:tr w:rsidR="00E15181" w:rsidRPr="00B211F8" w14:paraId="4B923402" w14:textId="77777777" w:rsidTr="00B211F8">
        <w:tc>
          <w:tcPr>
            <w:tcW w:w="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B1EFC16" w14:textId="77777777" w:rsidR="00E15181" w:rsidRPr="00B211F8" w:rsidRDefault="00E15181" w:rsidP="00D82A32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9</w:t>
            </w:r>
          </w:p>
        </w:tc>
        <w:tc>
          <w:tcPr>
            <w:tcW w:w="5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EB99A9B" w14:textId="77777777" w:rsidR="00E15181" w:rsidRPr="00B211F8" w:rsidRDefault="00E15181" w:rsidP="00B211F8">
            <w:pPr>
              <w:pStyle w:val="TABELE"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>Ustawa z dnia 5 lipca 2002 r. o ochronie niektórych usług świadczonych drogą elektroniczną opartych lub polegających na dostępie warunkowym.</w:t>
            </w:r>
          </w:p>
        </w:tc>
        <w:tc>
          <w:tcPr>
            <w:tcW w:w="2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16CF225" w14:textId="3CD2BDA2" w:rsidR="00E15181" w:rsidRPr="00B211F8" w:rsidRDefault="00E15181" w:rsidP="00B211F8">
            <w:pPr>
              <w:pStyle w:val="TABELE"/>
              <w:rPr>
                <w:rFonts w:ascii="Calibri" w:hAnsi="Calibri" w:cstheme="majorHAnsi"/>
                <w:sz w:val="22"/>
                <w:szCs w:val="22"/>
              </w:rPr>
            </w:pPr>
            <w:r w:rsidRPr="00B211F8">
              <w:rPr>
                <w:rFonts w:ascii="Calibri" w:hAnsi="Calibri" w:cstheme="majorHAnsi"/>
                <w:sz w:val="22"/>
                <w:szCs w:val="22"/>
              </w:rPr>
              <w:t xml:space="preserve">Dz.U. 2002 nr 126 </w:t>
            </w:r>
            <w:r w:rsidR="00B211F8">
              <w:rPr>
                <w:rFonts w:ascii="Calibri" w:hAnsi="Calibri" w:cstheme="majorHAnsi"/>
                <w:sz w:val="22"/>
                <w:szCs w:val="22"/>
              </w:rPr>
              <w:br/>
            </w:r>
            <w:r w:rsidRPr="00B211F8">
              <w:rPr>
                <w:rFonts w:ascii="Calibri" w:hAnsi="Calibri" w:cstheme="majorHAnsi"/>
                <w:sz w:val="22"/>
                <w:szCs w:val="22"/>
              </w:rPr>
              <w:t>poz. 1068</w:t>
            </w:r>
          </w:p>
        </w:tc>
      </w:tr>
    </w:tbl>
    <w:p w14:paraId="42E1FDE7" w14:textId="77777777" w:rsidR="004744DF" w:rsidRPr="00B211F8" w:rsidRDefault="004744DF" w:rsidP="004744DF">
      <w:pPr>
        <w:rPr>
          <w:rFonts w:ascii="Calibri" w:hAnsi="Calibri" w:cstheme="majorHAnsi"/>
          <w:sz w:val="22"/>
          <w:szCs w:val="22"/>
        </w:rPr>
      </w:pPr>
    </w:p>
    <w:p w14:paraId="72D66FAA" w14:textId="77777777" w:rsidR="004744DF" w:rsidRPr="00B211F8" w:rsidRDefault="004744DF" w:rsidP="004744DF">
      <w:pPr>
        <w:pStyle w:val="Nagwek2"/>
        <w:rPr>
          <w:rFonts w:ascii="Calibri" w:hAnsi="Calibri" w:cstheme="majorHAnsi"/>
          <w:b/>
          <w:bCs/>
          <w:szCs w:val="22"/>
        </w:rPr>
      </w:pPr>
      <w:bookmarkStart w:id="3" w:name="_Toc494810378"/>
      <w:r w:rsidRPr="00B211F8">
        <w:rPr>
          <w:rFonts w:ascii="Calibri" w:hAnsi="Calibri" w:cstheme="majorHAnsi"/>
          <w:b/>
          <w:bCs/>
          <w:szCs w:val="22"/>
        </w:rPr>
        <w:t>Integracja systemów</w:t>
      </w:r>
      <w:bookmarkEnd w:id="3"/>
    </w:p>
    <w:p w14:paraId="2786CA6A" w14:textId="64FC7CAC" w:rsidR="004744DF" w:rsidRDefault="004744DF" w:rsidP="00B211F8">
      <w:pPr>
        <w:spacing w:line="276" w:lineRule="auto"/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>Zamawiający wymaga, aby wyspecyfikowane elementy zamówienia były ze sobą kompatybilne oraz stanowiły zintegrowaną całość, w szczególności wymagane jest by:</w:t>
      </w:r>
    </w:p>
    <w:p w14:paraId="4547CE6A" w14:textId="77777777" w:rsidR="00B211F8" w:rsidRPr="00B211F8" w:rsidRDefault="00B211F8" w:rsidP="00B211F8">
      <w:pPr>
        <w:spacing w:line="276" w:lineRule="auto"/>
        <w:jc w:val="both"/>
        <w:rPr>
          <w:rFonts w:ascii="Calibri" w:hAnsi="Calibri" w:cstheme="majorHAnsi"/>
          <w:sz w:val="22"/>
          <w:szCs w:val="22"/>
        </w:rPr>
      </w:pPr>
    </w:p>
    <w:p w14:paraId="79100F82" w14:textId="0AEA892A" w:rsidR="004744DF" w:rsidRPr="00B211F8" w:rsidRDefault="004744DF" w:rsidP="00B211F8">
      <w:pPr>
        <w:pStyle w:val="Akapitzlist"/>
        <w:numPr>
          <w:ilvl w:val="0"/>
          <w:numId w:val="3"/>
        </w:numPr>
        <w:spacing w:after="160" w:line="276" w:lineRule="auto"/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 xml:space="preserve">Zakres integracji </w:t>
      </w:r>
      <w:r w:rsidR="009A594E" w:rsidRPr="00B211F8">
        <w:rPr>
          <w:rFonts w:ascii="Calibri" w:hAnsi="Calibri" w:cstheme="majorHAnsi"/>
          <w:sz w:val="22"/>
          <w:szCs w:val="22"/>
        </w:rPr>
        <w:t>był</w:t>
      </w:r>
      <w:r w:rsidRPr="00B211F8">
        <w:rPr>
          <w:rFonts w:ascii="Calibri" w:hAnsi="Calibri" w:cstheme="majorHAnsi"/>
          <w:sz w:val="22"/>
          <w:szCs w:val="22"/>
        </w:rPr>
        <w:t xml:space="preserve"> na takim poziomie, aby wdrażane usługi na wszystkich poziomach były realizowane w sposób automatyczny bez potrzeby ręcznego przenoszenia danych pomiędzy systemami. </w:t>
      </w:r>
    </w:p>
    <w:p w14:paraId="629CBEA3" w14:textId="06E1F57C" w:rsidR="009A594E" w:rsidRPr="00B211F8" w:rsidRDefault="009A594E" w:rsidP="00B211F8">
      <w:pPr>
        <w:pStyle w:val="Akapitzlist"/>
        <w:numPr>
          <w:ilvl w:val="0"/>
          <w:numId w:val="3"/>
        </w:numPr>
        <w:spacing w:after="160" w:line="276" w:lineRule="auto"/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 xml:space="preserve">Zamawiający wymaga integracji systemu nadzoru telemetrii oraz e-portalu z istniejącym systemem do obsługi i rozliczania odbiorców wody (system </w:t>
      </w:r>
      <w:proofErr w:type="spellStart"/>
      <w:r w:rsidRPr="00B211F8">
        <w:rPr>
          <w:rFonts w:ascii="Calibri" w:hAnsi="Calibri" w:cstheme="majorHAnsi"/>
          <w:sz w:val="22"/>
          <w:szCs w:val="22"/>
        </w:rPr>
        <w:t>AdAS</w:t>
      </w:r>
      <w:proofErr w:type="spellEnd"/>
      <w:r w:rsidRPr="00B211F8">
        <w:rPr>
          <w:rFonts w:ascii="Calibri" w:hAnsi="Calibri" w:cstheme="majorHAnsi"/>
          <w:sz w:val="22"/>
          <w:szCs w:val="22"/>
        </w:rPr>
        <w:t xml:space="preserve"> firmy </w:t>
      </w:r>
      <w:proofErr w:type="spellStart"/>
      <w:r w:rsidRPr="00B211F8">
        <w:rPr>
          <w:rFonts w:ascii="Calibri" w:hAnsi="Calibri" w:cstheme="majorHAnsi"/>
          <w:sz w:val="22"/>
          <w:szCs w:val="22"/>
        </w:rPr>
        <w:t>Tensoft</w:t>
      </w:r>
      <w:proofErr w:type="spellEnd"/>
      <w:r w:rsidRPr="00B211F8">
        <w:rPr>
          <w:rFonts w:ascii="Calibri" w:hAnsi="Calibri" w:cstheme="majorHAnsi"/>
          <w:sz w:val="22"/>
          <w:szCs w:val="22"/>
        </w:rPr>
        <w:t xml:space="preserve">). Zamawiający nie posiada w swoich zasobach </w:t>
      </w:r>
      <w:r w:rsidR="00B211F8" w:rsidRPr="00B211F8">
        <w:rPr>
          <w:rFonts w:ascii="Calibri" w:hAnsi="Calibri" w:cstheme="majorHAnsi"/>
          <w:sz w:val="22"/>
          <w:szCs w:val="22"/>
        </w:rPr>
        <w:t>API</w:t>
      </w:r>
      <w:r w:rsidR="00DF006D">
        <w:rPr>
          <w:rFonts w:ascii="Calibri" w:hAnsi="Calibri" w:cstheme="majorHAnsi"/>
          <w:sz w:val="22"/>
          <w:szCs w:val="22"/>
        </w:rPr>
        <w:t xml:space="preserve"> tego systemu</w:t>
      </w:r>
      <w:r w:rsidR="00B211F8" w:rsidRPr="00B211F8">
        <w:rPr>
          <w:rFonts w:ascii="Calibri" w:hAnsi="Calibri" w:cstheme="majorHAnsi"/>
          <w:sz w:val="22"/>
          <w:szCs w:val="22"/>
        </w:rPr>
        <w:t>.</w:t>
      </w:r>
      <w:r w:rsidRPr="00B211F8">
        <w:rPr>
          <w:rFonts w:ascii="Calibri" w:hAnsi="Calibri" w:cstheme="majorHAnsi"/>
          <w:sz w:val="22"/>
          <w:szCs w:val="22"/>
        </w:rPr>
        <w:t xml:space="preserve"> </w:t>
      </w:r>
    </w:p>
    <w:p w14:paraId="042E0E3C" w14:textId="46848559" w:rsidR="004744DF" w:rsidRPr="00B211F8" w:rsidRDefault="009F11BC" w:rsidP="00B211F8">
      <w:pPr>
        <w:pStyle w:val="Akapitzlist"/>
        <w:numPr>
          <w:ilvl w:val="0"/>
          <w:numId w:val="3"/>
        </w:numPr>
        <w:spacing w:after="160" w:line="276" w:lineRule="auto"/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 xml:space="preserve">Zamawiający </w:t>
      </w:r>
      <w:r w:rsidR="00B211F8" w:rsidRPr="00B211F8">
        <w:rPr>
          <w:rFonts w:ascii="Calibri" w:hAnsi="Calibri" w:cstheme="majorHAnsi"/>
          <w:sz w:val="22"/>
          <w:szCs w:val="22"/>
        </w:rPr>
        <w:t>wymaga,</w:t>
      </w:r>
      <w:r w:rsidR="006F2B23" w:rsidRPr="00B211F8">
        <w:rPr>
          <w:rFonts w:ascii="Calibri" w:hAnsi="Calibri" w:cstheme="majorHAnsi"/>
          <w:sz w:val="22"/>
          <w:szCs w:val="22"/>
        </w:rPr>
        <w:t xml:space="preserve"> aby dostarczone</w:t>
      </w:r>
      <w:r w:rsidRPr="00B211F8">
        <w:rPr>
          <w:rFonts w:ascii="Calibri" w:hAnsi="Calibri" w:cstheme="majorHAnsi"/>
          <w:sz w:val="22"/>
          <w:szCs w:val="22"/>
        </w:rPr>
        <w:t xml:space="preserve"> systemy umożliwiały osiągnięcie mierzalnych wskaźników projektu, które przedstawiają się następująco:</w:t>
      </w:r>
    </w:p>
    <w:p w14:paraId="031B0128" w14:textId="60E81902" w:rsidR="006F2B23" w:rsidRPr="00B211F8" w:rsidRDefault="00B211F8" w:rsidP="0043408C">
      <w:pPr>
        <w:widowControl w:val="0"/>
        <w:tabs>
          <w:tab w:val="left" w:pos="3393"/>
        </w:tabs>
        <w:suppressAutoHyphens w:val="0"/>
        <w:autoSpaceDE w:val="0"/>
        <w:autoSpaceDN w:val="0"/>
        <w:spacing w:before="1" w:line="240" w:lineRule="auto"/>
        <w:rPr>
          <w:rFonts w:ascii="Calibri" w:hAnsi="Calibri"/>
          <w:b/>
          <w:sz w:val="22"/>
          <w:szCs w:val="22"/>
        </w:rPr>
      </w:pPr>
      <w:r w:rsidRPr="00B211F8">
        <w:rPr>
          <w:rFonts w:ascii="Calibri" w:hAnsi="Calibri"/>
          <w:b/>
          <w:sz w:val="22"/>
          <w:szCs w:val="22"/>
        </w:rPr>
        <w:t>LISTA MIERZALNYCH WSKAŹNIKÓW</w:t>
      </w:r>
      <w:r w:rsidR="006F2B23" w:rsidRPr="00B211F8">
        <w:rPr>
          <w:rFonts w:ascii="Calibri" w:hAnsi="Calibri"/>
          <w:b/>
          <w:spacing w:val="-7"/>
          <w:sz w:val="22"/>
          <w:szCs w:val="22"/>
        </w:rPr>
        <w:t xml:space="preserve"> </w:t>
      </w:r>
      <w:r w:rsidR="006F2B23" w:rsidRPr="00B211F8">
        <w:rPr>
          <w:rFonts w:ascii="Calibri" w:hAnsi="Calibri"/>
          <w:b/>
          <w:sz w:val="22"/>
          <w:szCs w:val="22"/>
        </w:rPr>
        <w:t>PROJEKTU</w:t>
      </w:r>
    </w:p>
    <w:p w14:paraId="3E080771" w14:textId="77777777" w:rsidR="006F2B23" w:rsidRPr="00B211F8" w:rsidRDefault="006F2B23" w:rsidP="006F2B23">
      <w:pPr>
        <w:pStyle w:val="Tekstpodstawowy"/>
        <w:spacing w:before="1"/>
        <w:rPr>
          <w:rFonts w:ascii="Calibri" w:hAnsi="Calibri"/>
          <w:b/>
          <w:sz w:val="22"/>
          <w:szCs w:val="22"/>
        </w:rPr>
      </w:pPr>
    </w:p>
    <w:p w14:paraId="55123E76" w14:textId="77777777" w:rsidR="006F2B23" w:rsidRPr="00B211F8" w:rsidRDefault="006F2B23" w:rsidP="006F2B23">
      <w:pPr>
        <w:pStyle w:val="Akapitzlist"/>
        <w:widowControl w:val="0"/>
        <w:numPr>
          <w:ilvl w:val="0"/>
          <w:numId w:val="5"/>
        </w:numPr>
        <w:tabs>
          <w:tab w:val="left" w:pos="334"/>
        </w:tabs>
        <w:suppressAutoHyphens w:val="0"/>
        <w:autoSpaceDE w:val="0"/>
        <w:autoSpaceDN w:val="0"/>
        <w:spacing w:line="240" w:lineRule="auto"/>
        <w:rPr>
          <w:rFonts w:ascii="Calibri" w:hAnsi="Calibri"/>
          <w:b/>
          <w:sz w:val="22"/>
          <w:szCs w:val="22"/>
        </w:rPr>
      </w:pPr>
      <w:r w:rsidRPr="00B211F8">
        <w:rPr>
          <w:rFonts w:ascii="Calibri" w:hAnsi="Calibri"/>
          <w:b/>
          <w:w w:val="110"/>
          <w:sz w:val="22"/>
          <w:szCs w:val="22"/>
        </w:rPr>
        <w:t>Wskaźniki</w:t>
      </w:r>
      <w:r w:rsidRPr="00B211F8">
        <w:rPr>
          <w:rFonts w:ascii="Calibri" w:hAnsi="Calibri"/>
          <w:b/>
          <w:spacing w:val="2"/>
          <w:w w:val="110"/>
          <w:sz w:val="22"/>
          <w:szCs w:val="22"/>
        </w:rPr>
        <w:t xml:space="preserve"> </w:t>
      </w:r>
      <w:r w:rsidRPr="00B211F8">
        <w:rPr>
          <w:rFonts w:ascii="Calibri" w:hAnsi="Calibri"/>
          <w:b/>
          <w:w w:val="110"/>
          <w:sz w:val="22"/>
          <w:szCs w:val="22"/>
        </w:rPr>
        <w:t>produktu</w:t>
      </w:r>
    </w:p>
    <w:p w14:paraId="37F31F7E" w14:textId="77777777" w:rsidR="006F2B23" w:rsidRPr="00B211F8" w:rsidRDefault="006F2B23" w:rsidP="006F2B23">
      <w:pPr>
        <w:pStyle w:val="Tekstpodstawowy"/>
        <w:spacing w:before="1"/>
        <w:rPr>
          <w:rFonts w:ascii="Calibri" w:hAnsi="Calibri"/>
          <w:b/>
          <w:sz w:val="22"/>
          <w:szCs w:val="22"/>
        </w:rPr>
      </w:pPr>
    </w:p>
    <w:p w14:paraId="050BEA76" w14:textId="77777777" w:rsidR="006F2B23" w:rsidRPr="00B211F8" w:rsidRDefault="006F2B23" w:rsidP="006F2B23">
      <w:pPr>
        <w:ind w:left="110"/>
        <w:rPr>
          <w:rFonts w:ascii="Calibri" w:hAnsi="Calibri"/>
          <w:b/>
          <w:sz w:val="22"/>
          <w:szCs w:val="22"/>
        </w:rPr>
      </w:pPr>
      <w:r w:rsidRPr="00B211F8">
        <w:rPr>
          <w:rFonts w:ascii="Calibri" w:hAnsi="Calibri"/>
          <w:b/>
          <w:w w:val="110"/>
          <w:sz w:val="22"/>
          <w:szCs w:val="22"/>
        </w:rPr>
        <w:t>Wskaźniki kluczowe/specyﬁczne dla programu/specyﬁczne dla projektu</w:t>
      </w:r>
    </w:p>
    <w:p w14:paraId="352E617F" w14:textId="77777777" w:rsidR="006F2B23" w:rsidRPr="00B211F8" w:rsidRDefault="006F2B23" w:rsidP="006F2B23">
      <w:pPr>
        <w:pStyle w:val="Tekstpodstawowy"/>
        <w:spacing w:after="1"/>
        <w:rPr>
          <w:rFonts w:ascii="Calibri" w:hAnsi="Calibri"/>
          <w:b/>
          <w:sz w:val="22"/>
          <w:szCs w:val="22"/>
          <w:lang w:val="pl-PL"/>
        </w:rPr>
      </w:pPr>
    </w:p>
    <w:tbl>
      <w:tblPr>
        <w:tblStyle w:val="TableNormal"/>
        <w:tblW w:w="966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3569"/>
        <w:gridCol w:w="1123"/>
        <w:gridCol w:w="1287"/>
        <w:gridCol w:w="1134"/>
        <w:gridCol w:w="709"/>
        <w:gridCol w:w="709"/>
        <w:gridCol w:w="850"/>
      </w:tblGrid>
      <w:tr w:rsidR="006F2B23" w:rsidRPr="00B211F8" w14:paraId="0F2210F4" w14:textId="77777777" w:rsidTr="00B211F8">
        <w:trPr>
          <w:trHeight w:val="451"/>
        </w:trPr>
        <w:tc>
          <w:tcPr>
            <w:tcW w:w="285" w:type="dxa"/>
          </w:tcPr>
          <w:p w14:paraId="4F5F1A8E" w14:textId="77777777" w:rsidR="006F2B23" w:rsidRPr="00B211F8" w:rsidRDefault="006F2B23" w:rsidP="00D82A32">
            <w:pPr>
              <w:pStyle w:val="TableParagraph"/>
              <w:spacing w:before="0"/>
              <w:ind w:left="0"/>
              <w:rPr>
                <w:rFonts w:ascii="Calibri" w:hAnsi="Calibri"/>
                <w:lang w:val="pl-PL"/>
              </w:rPr>
            </w:pPr>
          </w:p>
        </w:tc>
        <w:tc>
          <w:tcPr>
            <w:tcW w:w="3569" w:type="dxa"/>
          </w:tcPr>
          <w:p w14:paraId="0E8A9620" w14:textId="77777777" w:rsidR="006F2B23" w:rsidRPr="00B211F8" w:rsidRDefault="006F2B23" w:rsidP="00B211F8">
            <w:pPr>
              <w:pStyle w:val="TableParagraph"/>
              <w:spacing w:before="133"/>
              <w:ind w:right="1488"/>
              <w:rPr>
                <w:rFonts w:ascii="Calibri" w:hAnsi="Calibri"/>
                <w:b/>
              </w:rPr>
            </w:pPr>
            <w:proofErr w:type="spellStart"/>
            <w:r w:rsidRPr="00B211F8">
              <w:rPr>
                <w:rFonts w:ascii="Calibri" w:hAnsi="Calibri"/>
                <w:b/>
                <w:w w:val="110"/>
              </w:rPr>
              <w:t>Nazwa</w:t>
            </w:r>
            <w:proofErr w:type="spellEnd"/>
            <w:r w:rsidRPr="00B211F8">
              <w:rPr>
                <w:rFonts w:ascii="Calibri" w:hAnsi="Calibri"/>
                <w:b/>
                <w:w w:val="110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b/>
                <w:w w:val="110"/>
              </w:rPr>
              <w:t>wskaźnika</w:t>
            </w:r>
            <w:proofErr w:type="spellEnd"/>
          </w:p>
        </w:tc>
        <w:tc>
          <w:tcPr>
            <w:tcW w:w="1123" w:type="dxa"/>
          </w:tcPr>
          <w:p w14:paraId="75AE099C" w14:textId="77777777" w:rsidR="006F2B23" w:rsidRPr="00B211F8" w:rsidRDefault="006F2B23" w:rsidP="00D82A32">
            <w:pPr>
              <w:pStyle w:val="TableParagraph"/>
              <w:spacing w:before="133"/>
              <w:ind w:left="0" w:right="190"/>
              <w:jc w:val="right"/>
              <w:rPr>
                <w:rFonts w:ascii="Calibri" w:hAnsi="Calibri"/>
                <w:b/>
              </w:rPr>
            </w:pPr>
            <w:proofErr w:type="spellStart"/>
            <w:r w:rsidRPr="00B211F8">
              <w:rPr>
                <w:rFonts w:ascii="Calibri" w:hAnsi="Calibri"/>
                <w:b/>
                <w:w w:val="105"/>
              </w:rPr>
              <w:t>Rodzaj</w:t>
            </w:r>
            <w:proofErr w:type="spellEnd"/>
          </w:p>
        </w:tc>
        <w:tc>
          <w:tcPr>
            <w:tcW w:w="1287" w:type="dxa"/>
          </w:tcPr>
          <w:p w14:paraId="30B3AA85" w14:textId="77777777" w:rsidR="006F2B23" w:rsidRPr="00B211F8" w:rsidRDefault="006F2B23" w:rsidP="00D82A32">
            <w:pPr>
              <w:pStyle w:val="TableParagraph"/>
              <w:spacing w:before="34" w:line="259" w:lineRule="auto"/>
              <w:ind w:left="304" w:right="102" w:hanging="177"/>
              <w:rPr>
                <w:rFonts w:ascii="Calibri" w:hAnsi="Calibri"/>
                <w:b/>
              </w:rPr>
            </w:pPr>
            <w:proofErr w:type="spellStart"/>
            <w:r w:rsidRPr="00B211F8">
              <w:rPr>
                <w:rFonts w:ascii="Calibri" w:hAnsi="Calibri"/>
                <w:b/>
                <w:w w:val="105"/>
              </w:rPr>
              <w:t>Jednostka</w:t>
            </w:r>
            <w:proofErr w:type="spellEnd"/>
            <w:r w:rsidRPr="00B211F8">
              <w:rPr>
                <w:rFonts w:ascii="Calibri" w:hAnsi="Calibri"/>
                <w:b/>
                <w:w w:val="105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b/>
                <w:w w:val="110"/>
              </w:rPr>
              <w:t>miary</w:t>
            </w:r>
            <w:proofErr w:type="spellEnd"/>
          </w:p>
        </w:tc>
        <w:tc>
          <w:tcPr>
            <w:tcW w:w="1134" w:type="dxa"/>
            <w:vAlign w:val="center"/>
          </w:tcPr>
          <w:p w14:paraId="77A18C1A" w14:textId="7710F960" w:rsidR="006F2B23" w:rsidRPr="00B211F8" w:rsidRDefault="006F2B23" w:rsidP="00B211F8">
            <w:pPr>
              <w:pStyle w:val="TableParagraph"/>
              <w:spacing w:before="34" w:line="259" w:lineRule="auto"/>
              <w:ind w:left="128" w:right="119"/>
              <w:rPr>
                <w:rFonts w:ascii="Calibri" w:hAnsi="Calibri"/>
                <w:b/>
              </w:rPr>
            </w:pPr>
            <w:proofErr w:type="spellStart"/>
            <w:r w:rsidRPr="00B211F8">
              <w:rPr>
                <w:rFonts w:ascii="Calibri" w:hAnsi="Calibri"/>
                <w:b/>
                <w:w w:val="110"/>
              </w:rPr>
              <w:t>Rok</w:t>
            </w:r>
            <w:proofErr w:type="spellEnd"/>
            <w:r w:rsidRPr="00B211F8">
              <w:rPr>
                <w:rFonts w:ascii="Calibri" w:hAnsi="Calibri"/>
                <w:b/>
                <w:w w:val="110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b/>
                <w:w w:val="110"/>
              </w:rPr>
              <w:t>bazowy</w:t>
            </w:r>
            <w:proofErr w:type="spellEnd"/>
            <w:r w:rsidR="00B211F8">
              <w:rPr>
                <w:rFonts w:ascii="Calibri" w:hAnsi="Calibri"/>
                <w:b/>
                <w:w w:val="110"/>
              </w:rPr>
              <w:br/>
            </w:r>
            <w:r w:rsidRPr="00B211F8">
              <w:rPr>
                <w:rFonts w:ascii="Calibri" w:hAnsi="Calibri"/>
                <w:b/>
                <w:w w:val="110"/>
              </w:rPr>
              <w:t>201</w:t>
            </w:r>
            <w:r w:rsidR="00680A8E" w:rsidRPr="00B211F8">
              <w:rPr>
                <w:rFonts w:ascii="Calibri" w:hAnsi="Calibri"/>
                <w:b/>
                <w:w w:val="110"/>
              </w:rPr>
              <w:t>9</w:t>
            </w:r>
          </w:p>
        </w:tc>
        <w:tc>
          <w:tcPr>
            <w:tcW w:w="709" w:type="dxa"/>
          </w:tcPr>
          <w:p w14:paraId="0B88AED8" w14:textId="1D9A2B3D" w:rsidR="006F2B23" w:rsidRPr="00B211F8" w:rsidRDefault="006F2B23" w:rsidP="00D82A32">
            <w:pPr>
              <w:pStyle w:val="TableParagraph"/>
              <w:spacing w:before="133"/>
              <w:ind w:left="126"/>
              <w:rPr>
                <w:rFonts w:ascii="Calibri" w:hAnsi="Calibri"/>
                <w:b/>
              </w:rPr>
            </w:pPr>
            <w:r w:rsidRPr="00B211F8">
              <w:rPr>
                <w:rFonts w:ascii="Calibri" w:hAnsi="Calibri"/>
                <w:b/>
                <w:w w:val="115"/>
              </w:rPr>
              <w:t>201</w:t>
            </w:r>
            <w:r w:rsidR="00680A8E" w:rsidRPr="00B211F8">
              <w:rPr>
                <w:rFonts w:ascii="Calibri" w:hAnsi="Calibri"/>
                <w:b/>
                <w:w w:val="115"/>
              </w:rPr>
              <w:t>9</w:t>
            </w:r>
          </w:p>
        </w:tc>
        <w:tc>
          <w:tcPr>
            <w:tcW w:w="709" w:type="dxa"/>
          </w:tcPr>
          <w:p w14:paraId="15A84F71" w14:textId="2A0470F8" w:rsidR="006F2B23" w:rsidRPr="00B211F8" w:rsidRDefault="006F2B23" w:rsidP="00D82A32">
            <w:pPr>
              <w:pStyle w:val="TableParagraph"/>
              <w:spacing w:before="133"/>
              <w:ind w:left="131"/>
              <w:rPr>
                <w:rFonts w:ascii="Calibri" w:hAnsi="Calibri"/>
                <w:b/>
              </w:rPr>
            </w:pPr>
            <w:r w:rsidRPr="00B211F8">
              <w:rPr>
                <w:rFonts w:ascii="Calibri" w:hAnsi="Calibri"/>
                <w:b/>
                <w:w w:val="115"/>
              </w:rPr>
              <w:t>20</w:t>
            </w:r>
            <w:r w:rsidR="00680A8E" w:rsidRPr="00B211F8">
              <w:rPr>
                <w:rFonts w:ascii="Calibri" w:hAnsi="Calibri"/>
                <w:b/>
                <w:w w:val="115"/>
              </w:rPr>
              <w:t>20</w:t>
            </w:r>
          </w:p>
        </w:tc>
        <w:tc>
          <w:tcPr>
            <w:tcW w:w="850" w:type="dxa"/>
          </w:tcPr>
          <w:p w14:paraId="74FC53A7" w14:textId="5BDA4E46" w:rsidR="006F2B23" w:rsidRPr="00B211F8" w:rsidRDefault="00680A8E" w:rsidP="00D82A32">
            <w:pPr>
              <w:pStyle w:val="TableParagraph"/>
              <w:spacing w:before="133"/>
              <w:ind w:left="130"/>
              <w:rPr>
                <w:rFonts w:ascii="Calibri" w:hAnsi="Calibri"/>
                <w:b/>
              </w:rPr>
            </w:pPr>
            <w:r w:rsidRPr="00B211F8">
              <w:rPr>
                <w:rFonts w:ascii="Calibri" w:hAnsi="Calibri"/>
                <w:b/>
                <w:w w:val="115"/>
              </w:rPr>
              <w:t>20</w:t>
            </w:r>
            <w:r w:rsidR="00D82A32" w:rsidRPr="00B211F8">
              <w:rPr>
                <w:rFonts w:ascii="Calibri" w:hAnsi="Calibri"/>
                <w:b/>
                <w:w w:val="115"/>
              </w:rPr>
              <w:t>21</w:t>
            </w:r>
          </w:p>
        </w:tc>
      </w:tr>
      <w:tr w:rsidR="006F2B23" w:rsidRPr="00B211F8" w14:paraId="6AD2B8DA" w14:textId="77777777" w:rsidTr="00B211F8">
        <w:trPr>
          <w:trHeight w:val="451"/>
        </w:trPr>
        <w:tc>
          <w:tcPr>
            <w:tcW w:w="285" w:type="dxa"/>
          </w:tcPr>
          <w:p w14:paraId="28F107AE" w14:textId="77777777" w:rsidR="006F2B23" w:rsidRPr="00B211F8" w:rsidRDefault="006F2B23" w:rsidP="00D82A32">
            <w:pPr>
              <w:pStyle w:val="TableParagraph"/>
              <w:spacing w:before="112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</w:t>
            </w:r>
          </w:p>
        </w:tc>
        <w:tc>
          <w:tcPr>
            <w:tcW w:w="3569" w:type="dxa"/>
            <w:vAlign w:val="center"/>
          </w:tcPr>
          <w:p w14:paraId="41C06A0A" w14:textId="77777777" w:rsidR="006F2B23" w:rsidRPr="00B211F8" w:rsidRDefault="006F2B23" w:rsidP="00B211F8">
            <w:pPr>
              <w:pStyle w:val="TableParagraph"/>
              <w:spacing w:before="34" w:line="259" w:lineRule="auto"/>
              <w:ind w:right="137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>Liczba baz danych udostępnionych on-line poprzez API</w:t>
            </w:r>
          </w:p>
        </w:tc>
        <w:tc>
          <w:tcPr>
            <w:tcW w:w="1123" w:type="dxa"/>
            <w:vAlign w:val="center"/>
          </w:tcPr>
          <w:p w14:paraId="0DB0D495" w14:textId="77777777" w:rsidR="006F2B23" w:rsidRPr="00B211F8" w:rsidRDefault="006F2B23" w:rsidP="00B211F8">
            <w:pPr>
              <w:pStyle w:val="TableParagraph"/>
              <w:spacing w:before="112"/>
              <w:ind w:left="0" w:right="237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53D80E87" w14:textId="77777777" w:rsidR="006F2B23" w:rsidRPr="00B211F8" w:rsidRDefault="006F2B23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22B225F0" w14:textId="77777777" w:rsidR="006F2B23" w:rsidRPr="00B211F8" w:rsidRDefault="006F2B23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27663A50" w14:textId="77777777" w:rsidR="006F2B23" w:rsidRPr="00B211F8" w:rsidRDefault="006F2B23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17D7C58A" w14:textId="77777777" w:rsidR="006F2B23" w:rsidRPr="00B211F8" w:rsidRDefault="006F2B23" w:rsidP="00B211F8">
            <w:pPr>
              <w:pStyle w:val="TableParagraph"/>
              <w:spacing w:before="112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1.00</w:t>
            </w:r>
          </w:p>
        </w:tc>
        <w:tc>
          <w:tcPr>
            <w:tcW w:w="850" w:type="dxa"/>
            <w:vAlign w:val="center"/>
          </w:tcPr>
          <w:p w14:paraId="4BC1F4A2" w14:textId="77777777" w:rsidR="006F2B23" w:rsidRPr="00B211F8" w:rsidRDefault="006F2B23" w:rsidP="00B211F8">
            <w:pPr>
              <w:pStyle w:val="TableParagraph"/>
              <w:spacing w:before="112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1.00</w:t>
            </w:r>
          </w:p>
        </w:tc>
      </w:tr>
      <w:tr w:rsidR="006F2B23" w:rsidRPr="00B211F8" w14:paraId="03D5BDCA" w14:textId="77777777" w:rsidTr="00B211F8">
        <w:trPr>
          <w:trHeight w:val="2431"/>
        </w:trPr>
        <w:tc>
          <w:tcPr>
            <w:tcW w:w="285" w:type="dxa"/>
          </w:tcPr>
          <w:p w14:paraId="310A6068" w14:textId="77777777" w:rsidR="006F2B23" w:rsidRPr="00B211F8" w:rsidRDefault="006F2B23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  <w:vAlign w:val="center"/>
          </w:tcPr>
          <w:p w14:paraId="74069EF6" w14:textId="4318A991" w:rsidR="006F2B23" w:rsidRPr="00B211F8" w:rsidRDefault="006F2B23" w:rsidP="00B211F8">
            <w:pPr>
              <w:pStyle w:val="TableParagraph"/>
              <w:spacing w:before="0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 xml:space="preserve">Opis wskaźnika oraz metodologia jego pomiaru </w:t>
            </w:r>
            <w:r w:rsidR="00412F4A">
              <w:rPr>
                <w:rFonts w:ascii="Calibri" w:hAnsi="Calibri"/>
                <w:w w:val="105"/>
                <w:lang w:val="pl-PL"/>
              </w:rPr>
              <w:br/>
            </w:r>
            <w:r w:rsidRPr="00B211F8">
              <w:rPr>
                <w:rFonts w:ascii="Calibri" w:hAnsi="Calibri"/>
                <w:w w:val="105"/>
                <w:lang w:val="pl-PL"/>
              </w:rPr>
              <w:t>(w tym źródło danych i sposób pomiaru wskaźnika)</w:t>
            </w:r>
          </w:p>
        </w:tc>
        <w:tc>
          <w:tcPr>
            <w:tcW w:w="5812" w:type="dxa"/>
            <w:gridSpan w:val="6"/>
          </w:tcPr>
          <w:p w14:paraId="32155DB3" w14:textId="77777777" w:rsidR="00680A8E" w:rsidRPr="00B211F8" w:rsidRDefault="00680A8E" w:rsidP="00412F4A">
            <w:pPr>
              <w:suppressAutoHyphens w:val="0"/>
              <w:adjustRightInd w:val="0"/>
              <w:spacing w:line="240" w:lineRule="auto"/>
              <w:ind w:left="143" w:right="136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Utworzona zostanie baza danych z informacjami dotyczącymi</w:t>
            </w:r>
          </w:p>
          <w:p w14:paraId="58241098" w14:textId="2FA1D029" w:rsidR="00680A8E" w:rsidRPr="00B211F8" w:rsidRDefault="00680A8E" w:rsidP="00412F4A">
            <w:pPr>
              <w:suppressAutoHyphens w:val="0"/>
              <w:adjustRightInd w:val="0"/>
              <w:spacing w:line="240" w:lineRule="auto"/>
              <w:ind w:left="143" w:right="136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gospodarki wodociągowej Gminy Dywity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zawierająca w szczególności takie dane jak:</w:t>
            </w:r>
          </w:p>
          <w:p w14:paraId="3D614C81" w14:textId="77777777" w:rsidR="00412F4A" w:rsidRDefault="00680A8E" w:rsidP="00412F4A">
            <w:pPr>
              <w:pStyle w:val="Akapitzlist"/>
              <w:numPr>
                <w:ilvl w:val="0"/>
                <w:numId w:val="10"/>
              </w:numPr>
              <w:suppressAutoHyphens w:val="0"/>
              <w:adjustRightInd w:val="0"/>
              <w:spacing w:line="240" w:lineRule="auto"/>
              <w:ind w:left="143" w:right="136" w:firstLine="0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lokalizacja punktów pomiaru,</w:t>
            </w:r>
          </w:p>
          <w:p w14:paraId="351C3F7A" w14:textId="77777777" w:rsidR="00412F4A" w:rsidRDefault="00680A8E" w:rsidP="00412F4A">
            <w:pPr>
              <w:pStyle w:val="Akapitzlist"/>
              <w:numPr>
                <w:ilvl w:val="0"/>
                <w:numId w:val="10"/>
              </w:numPr>
              <w:suppressAutoHyphens w:val="0"/>
              <w:adjustRightInd w:val="0"/>
              <w:spacing w:line="240" w:lineRule="auto"/>
              <w:ind w:left="143" w:right="136" w:firstLine="0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numerów IMEI będących identyfikatorami modułów teletransmisji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danych,</w:t>
            </w:r>
          </w:p>
          <w:p w14:paraId="1666224A" w14:textId="77777777" w:rsidR="00412F4A" w:rsidRDefault="00680A8E" w:rsidP="00412F4A">
            <w:pPr>
              <w:pStyle w:val="Akapitzlist"/>
              <w:numPr>
                <w:ilvl w:val="0"/>
                <w:numId w:val="10"/>
              </w:numPr>
              <w:suppressAutoHyphens w:val="0"/>
              <w:adjustRightInd w:val="0"/>
              <w:spacing w:line="240" w:lineRule="auto"/>
              <w:ind w:left="143" w:right="136" w:firstLine="0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numery seryjne urządzeń pomiarowych systemu nadzoru,</w:t>
            </w:r>
          </w:p>
          <w:p w14:paraId="69851F6C" w14:textId="77777777" w:rsidR="00412F4A" w:rsidRDefault="00680A8E" w:rsidP="00412F4A">
            <w:pPr>
              <w:pStyle w:val="Akapitzlist"/>
              <w:numPr>
                <w:ilvl w:val="0"/>
                <w:numId w:val="10"/>
              </w:numPr>
              <w:suppressAutoHyphens w:val="0"/>
              <w:adjustRightInd w:val="0"/>
              <w:spacing w:line="240" w:lineRule="auto"/>
              <w:ind w:left="143" w:right="136" w:firstLine="0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status baterii zamontowanych w modułach teletransmisji danych,</w:t>
            </w:r>
          </w:p>
          <w:p w14:paraId="4EEDEC22" w14:textId="77777777" w:rsidR="00412F4A" w:rsidRDefault="00680A8E" w:rsidP="00412F4A">
            <w:pPr>
              <w:pStyle w:val="Akapitzlist"/>
              <w:numPr>
                <w:ilvl w:val="0"/>
                <w:numId w:val="10"/>
              </w:numPr>
              <w:suppressAutoHyphens w:val="0"/>
              <w:adjustRightInd w:val="0"/>
              <w:spacing w:line="240" w:lineRule="auto"/>
              <w:ind w:left="143" w:right="136" w:firstLine="0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historia zdarzeń dotycząca punktów pomiaru</w:t>
            </w:r>
          </w:p>
          <w:p w14:paraId="7AC71A74" w14:textId="42C65D16" w:rsidR="00680A8E" w:rsidRPr="00412F4A" w:rsidRDefault="00680A8E" w:rsidP="00412F4A">
            <w:pPr>
              <w:pStyle w:val="Akapitzlist"/>
              <w:numPr>
                <w:ilvl w:val="0"/>
                <w:numId w:val="10"/>
              </w:numPr>
              <w:suppressAutoHyphens w:val="0"/>
              <w:adjustRightInd w:val="0"/>
              <w:spacing w:line="240" w:lineRule="auto"/>
              <w:ind w:left="143" w:right="136" w:firstLine="0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kody błędów zgłaszanych przez urządzenia nadzorujące </w:t>
            </w:r>
            <w:r w:rsidR="00B211F8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</w:t>
            </w:r>
            <w:r w:rsidR="00B211F8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monitorowanych punktach.</w:t>
            </w:r>
          </w:p>
          <w:p w14:paraId="195598DB" w14:textId="0631765D" w:rsidR="006F2B23" w:rsidRPr="00412F4A" w:rsidRDefault="00412F4A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</w:t>
            </w:r>
            <w:r w:rsidR="00680A8E"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posób pomiaru osiągnięcia wskaźnika: protokół odbioru końcowego w</w:t>
            </w:r>
            <w:r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="00680A8E"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pełni funkcjonalnego systemu telemetrii </w:t>
            </w:r>
            <w:r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="00680A8E"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i e-usług zatwierdzony przez</w:t>
            </w:r>
            <w:r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="00680A8E"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inżyniera kontraktu i Gminę Dywity.</w:t>
            </w:r>
            <w:r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="00680A8E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 pomiar wskaźnika odpowiedzialny będzie Wnioskodawca</w:t>
            </w:r>
          </w:p>
        </w:tc>
      </w:tr>
      <w:tr w:rsidR="00D82A32" w:rsidRPr="00B211F8" w14:paraId="2B874019" w14:textId="77777777" w:rsidTr="00B211F8">
        <w:trPr>
          <w:trHeight w:val="451"/>
        </w:trPr>
        <w:tc>
          <w:tcPr>
            <w:tcW w:w="285" w:type="dxa"/>
          </w:tcPr>
          <w:p w14:paraId="39DE92A6" w14:textId="77777777" w:rsidR="00D82A32" w:rsidRPr="00B211F8" w:rsidRDefault="00D82A32" w:rsidP="00D82A32">
            <w:pPr>
              <w:pStyle w:val="TableParagraph"/>
              <w:spacing w:before="112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2.</w:t>
            </w:r>
          </w:p>
        </w:tc>
        <w:tc>
          <w:tcPr>
            <w:tcW w:w="3569" w:type="dxa"/>
          </w:tcPr>
          <w:p w14:paraId="2AACC0D9" w14:textId="1B141CB3" w:rsidR="00D82A32" w:rsidRPr="00B211F8" w:rsidRDefault="00D82A32" w:rsidP="00B211F8">
            <w:pPr>
              <w:pStyle w:val="TableParagraph"/>
              <w:spacing w:before="34" w:line="259" w:lineRule="auto"/>
              <w:ind w:right="137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 xml:space="preserve">Liczba osób objętych szkoleniami/doradztwem </w:t>
            </w:r>
            <w:r w:rsidR="00B211F8">
              <w:rPr>
                <w:rFonts w:ascii="Calibri" w:hAnsi="Calibri"/>
                <w:b/>
                <w:w w:val="110"/>
                <w:lang w:val="pl-PL"/>
              </w:rPr>
              <w:br/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>w zakresie kompetencji cyfrowych, O/K/M</w:t>
            </w:r>
          </w:p>
        </w:tc>
        <w:tc>
          <w:tcPr>
            <w:tcW w:w="1123" w:type="dxa"/>
            <w:vAlign w:val="center"/>
          </w:tcPr>
          <w:p w14:paraId="406F16CE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00CAABBD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osoby</w:t>
            </w:r>
            <w:proofErr w:type="spellEnd"/>
          </w:p>
        </w:tc>
        <w:tc>
          <w:tcPr>
            <w:tcW w:w="1134" w:type="dxa"/>
            <w:vAlign w:val="center"/>
          </w:tcPr>
          <w:p w14:paraId="7A2B2F66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65C64FAB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03EB42D8" w14:textId="7E0776E2" w:rsidR="00D82A32" w:rsidRPr="00B211F8" w:rsidRDefault="00D82A32" w:rsidP="00B211F8">
            <w:pPr>
              <w:pStyle w:val="TableParagraph"/>
              <w:spacing w:before="112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850" w:type="dxa"/>
            <w:vAlign w:val="center"/>
          </w:tcPr>
          <w:p w14:paraId="73700546" w14:textId="60B9D4D1" w:rsidR="00D82A32" w:rsidRPr="00B211F8" w:rsidRDefault="00D82A32" w:rsidP="00B211F8">
            <w:pPr>
              <w:pStyle w:val="TableParagraph"/>
              <w:spacing w:before="112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</w:tr>
      <w:tr w:rsidR="00D82A32" w:rsidRPr="00B211F8" w14:paraId="50C3FB15" w14:textId="77777777" w:rsidTr="00B211F8">
        <w:trPr>
          <w:trHeight w:val="1441"/>
        </w:trPr>
        <w:tc>
          <w:tcPr>
            <w:tcW w:w="285" w:type="dxa"/>
          </w:tcPr>
          <w:p w14:paraId="7EB2C7AF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6D17C992" w14:textId="392E5FA9" w:rsidR="00D82A32" w:rsidRPr="00B211F8" w:rsidRDefault="00D82A32" w:rsidP="00B211F8">
            <w:pPr>
              <w:pStyle w:val="TableParagraph"/>
              <w:spacing w:before="107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 xml:space="preserve">Opis wskaźnika oraz metodologia jego pomiaru </w:t>
            </w:r>
            <w:r w:rsidR="00412F4A">
              <w:rPr>
                <w:rFonts w:ascii="Calibri" w:hAnsi="Calibri"/>
                <w:w w:val="105"/>
                <w:lang w:val="pl-PL"/>
              </w:rPr>
              <w:br/>
            </w:r>
            <w:r w:rsidRPr="00B211F8">
              <w:rPr>
                <w:rFonts w:ascii="Calibri" w:hAnsi="Calibri"/>
                <w:w w:val="105"/>
                <w:lang w:val="pl-PL"/>
              </w:rPr>
              <w:t>(w tym źródło danych i sposób pomiaru wskaźnika)</w:t>
            </w:r>
          </w:p>
        </w:tc>
        <w:tc>
          <w:tcPr>
            <w:tcW w:w="5812" w:type="dxa"/>
            <w:gridSpan w:val="6"/>
            <w:vAlign w:val="center"/>
          </w:tcPr>
          <w:p w14:paraId="449CDC80" w14:textId="0CA21898" w:rsidR="00D82A32" w:rsidRPr="00B211F8" w:rsidRDefault="00D82A32" w:rsidP="00B211F8">
            <w:pPr>
              <w:pStyle w:val="TableParagraph"/>
              <w:spacing w:before="26" w:line="220" w:lineRule="auto"/>
              <w:ind w:right="33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Nie</w:t>
            </w:r>
            <w:proofErr w:type="spellEnd"/>
            <w:r w:rsidRPr="00B211F8">
              <w:rPr>
                <w:rFonts w:ascii="Calibri" w:hAnsi="Calibri"/>
                <w:w w:val="105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w w:val="105"/>
              </w:rPr>
              <w:t>dotyczy</w:t>
            </w:r>
            <w:proofErr w:type="spellEnd"/>
          </w:p>
        </w:tc>
      </w:tr>
      <w:tr w:rsidR="00D82A32" w:rsidRPr="00B211F8" w14:paraId="32232E05" w14:textId="77777777" w:rsidTr="00B211F8">
        <w:trPr>
          <w:trHeight w:val="451"/>
        </w:trPr>
        <w:tc>
          <w:tcPr>
            <w:tcW w:w="285" w:type="dxa"/>
          </w:tcPr>
          <w:p w14:paraId="098433A4" w14:textId="77777777" w:rsidR="00D82A32" w:rsidRPr="00B211F8" w:rsidRDefault="00D82A32" w:rsidP="00D82A32">
            <w:pPr>
              <w:pStyle w:val="TableParagraph"/>
              <w:spacing w:before="112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3.</w:t>
            </w:r>
          </w:p>
        </w:tc>
        <w:tc>
          <w:tcPr>
            <w:tcW w:w="3569" w:type="dxa"/>
          </w:tcPr>
          <w:p w14:paraId="2FBDDA58" w14:textId="77777777" w:rsidR="00D82A32" w:rsidRPr="00B211F8" w:rsidRDefault="00D82A32" w:rsidP="00B211F8">
            <w:pPr>
              <w:pStyle w:val="TableParagraph"/>
              <w:spacing w:before="34" w:line="259" w:lineRule="auto"/>
              <w:ind w:right="714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>Liczba podmiotów, które udostępniły on-line informacje sektora publicznego</w:t>
            </w:r>
          </w:p>
        </w:tc>
        <w:tc>
          <w:tcPr>
            <w:tcW w:w="1123" w:type="dxa"/>
            <w:vAlign w:val="center"/>
          </w:tcPr>
          <w:p w14:paraId="216E2B8D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1A8981F0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284A9321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4FFB22A4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706CDC9F" w14:textId="77777777" w:rsidR="00D82A32" w:rsidRPr="00B211F8" w:rsidRDefault="00D82A32" w:rsidP="00B211F8">
            <w:pPr>
              <w:pStyle w:val="TableParagraph"/>
              <w:spacing w:before="112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1.00</w:t>
            </w:r>
          </w:p>
        </w:tc>
        <w:tc>
          <w:tcPr>
            <w:tcW w:w="850" w:type="dxa"/>
            <w:vAlign w:val="center"/>
          </w:tcPr>
          <w:p w14:paraId="1B58A0F2" w14:textId="77777777" w:rsidR="00D82A32" w:rsidRPr="00B211F8" w:rsidRDefault="00D82A32" w:rsidP="00B211F8">
            <w:pPr>
              <w:pStyle w:val="TableParagraph"/>
              <w:spacing w:before="112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1.00</w:t>
            </w:r>
          </w:p>
        </w:tc>
      </w:tr>
      <w:tr w:rsidR="00D82A32" w:rsidRPr="00B211F8" w14:paraId="3FA0FA54" w14:textId="77777777" w:rsidTr="00B211F8">
        <w:trPr>
          <w:trHeight w:val="1045"/>
        </w:trPr>
        <w:tc>
          <w:tcPr>
            <w:tcW w:w="285" w:type="dxa"/>
          </w:tcPr>
          <w:p w14:paraId="0AA941F2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16956DCB" w14:textId="77777777" w:rsidR="00D82A32" w:rsidRPr="00B211F8" w:rsidRDefault="00D82A32" w:rsidP="00B211F8">
            <w:pPr>
              <w:pStyle w:val="TableParagraph"/>
              <w:spacing w:before="116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>Opis wskaźnika oraz metodologia jego pomiaru (w tym źródło danych i sposób pomiaru wskaźnika)</w:t>
            </w:r>
          </w:p>
        </w:tc>
        <w:tc>
          <w:tcPr>
            <w:tcW w:w="5812" w:type="dxa"/>
            <w:gridSpan w:val="6"/>
          </w:tcPr>
          <w:p w14:paraId="7DA1B4C6" w14:textId="05D45628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Gmina Dywity udostępni on-line informacje sektora publicznego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związane z gospodarką wodociągową gminy. Sposób pomiaru: protokół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odbioru końcowego w pełni funkcjonalnego systemu telemetrii i e</w:t>
            </w:r>
            <w:r w:rsidR="00B211F8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-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usług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zatwierdzony przez inżyniera kontraktu i Gminę Dywity.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 pomiar wskaźnika odpowiedzialny będzie Wnioskodawca</w:t>
            </w:r>
          </w:p>
        </w:tc>
      </w:tr>
      <w:tr w:rsidR="00D82A32" w:rsidRPr="00B211F8" w14:paraId="7B73F6EE" w14:textId="77777777" w:rsidTr="00B211F8">
        <w:trPr>
          <w:trHeight w:val="451"/>
        </w:trPr>
        <w:tc>
          <w:tcPr>
            <w:tcW w:w="285" w:type="dxa"/>
          </w:tcPr>
          <w:p w14:paraId="1DB03FA9" w14:textId="77777777" w:rsidR="00D82A32" w:rsidRPr="00B211F8" w:rsidRDefault="00D82A32" w:rsidP="00D82A32">
            <w:pPr>
              <w:pStyle w:val="TableParagraph"/>
              <w:spacing w:before="112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4.</w:t>
            </w:r>
          </w:p>
        </w:tc>
        <w:tc>
          <w:tcPr>
            <w:tcW w:w="3569" w:type="dxa"/>
          </w:tcPr>
          <w:p w14:paraId="0D86F364" w14:textId="77777777" w:rsidR="00D82A32" w:rsidRPr="00B211F8" w:rsidRDefault="00D82A32" w:rsidP="00D82A32">
            <w:pPr>
              <w:pStyle w:val="TableParagraph"/>
              <w:spacing w:before="34" w:line="259" w:lineRule="auto"/>
              <w:ind w:right="802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>Liczba podmiotów udostępniających usługi wewnątrzadministracyjne (A2A)</w:t>
            </w:r>
          </w:p>
        </w:tc>
        <w:tc>
          <w:tcPr>
            <w:tcW w:w="1123" w:type="dxa"/>
            <w:vAlign w:val="center"/>
          </w:tcPr>
          <w:p w14:paraId="0D33F143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1CBB5815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5A2ECEB5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50BCCE9E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764F6D92" w14:textId="5DE802B0" w:rsidR="00D82A32" w:rsidRPr="00B211F8" w:rsidRDefault="00D82A32" w:rsidP="00B211F8">
            <w:pPr>
              <w:pStyle w:val="TableParagraph"/>
              <w:spacing w:before="112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850" w:type="dxa"/>
            <w:vAlign w:val="center"/>
          </w:tcPr>
          <w:p w14:paraId="602B62A3" w14:textId="4D250F3B" w:rsidR="00D82A32" w:rsidRPr="00B211F8" w:rsidRDefault="00D82A32" w:rsidP="00B211F8">
            <w:pPr>
              <w:pStyle w:val="TableParagraph"/>
              <w:spacing w:before="112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</w:tr>
      <w:tr w:rsidR="00D82A32" w:rsidRPr="00B211F8" w14:paraId="58F08FB7" w14:textId="77777777" w:rsidTr="00B211F8">
        <w:trPr>
          <w:trHeight w:val="1441"/>
        </w:trPr>
        <w:tc>
          <w:tcPr>
            <w:tcW w:w="285" w:type="dxa"/>
          </w:tcPr>
          <w:p w14:paraId="2AD501FF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11B154E1" w14:textId="77777777" w:rsidR="00D82A32" w:rsidRPr="00B211F8" w:rsidRDefault="00D82A32" w:rsidP="00D82A32">
            <w:pPr>
              <w:pStyle w:val="TableParagraph"/>
              <w:spacing w:before="107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>Opis wskaźnika oraz metodologia jego pomiaru (w tym źródło danych i sposób pomiaru wskaźnika)</w:t>
            </w:r>
          </w:p>
        </w:tc>
        <w:tc>
          <w:tcPr>
            <w:tcW w:w="5812" w:type="dxa"/>
            <w:gridSpan w:val="6"/>
            <w:vAlign w:val="center"/>
          </w:tcPr>
          <w:p w14:paraId="5B11E7A5" w14:textId="5B8311C9" w:rsidR="00D82A32" w:rsidRPr="00B211F8" w:rsidRDefault="00D82A32" w:rsidP="00B211F8">
            <w:pPr>
              <w:pStyle w:val="TableParagraph"/>
              <w:spacing w:before="26" w:line="220" w:lineRule="auto"/>
              <w:ind w:right="83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Nie</w:t>
            </w:r>
            <w:proofErr w:type="spellEnd"/>
            <w:r w:rsidRPr="00B211F8">
              <w:rPr>
                <w:rFonts w:ascii="Calibri" w:hAnsi="Calibri"/>
                <w:w w:val="105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w w:val="105"/>
              </w:rPr>
              <w:t>dotyczy</w:t>
            </w:r>
            <w:proofErr w:type="spellEnd"/>
          </w:p>
        </w:tc>
      </w:tr>
      <w:tr w:rsidR="00D82A32" w:rsidRPr="00B211F8" w14:paraId="1F757FC7" w14:textId="77777777" w:rsidTr="00B211F8">
        <w:trPr>
          <w:trHeight w:val="451"/>
        </w:trPr>
        <w:tc>
          <w:tcPr>
            <w:tcW w:w="285" w:type="dxa"/>
          </w:tcPr>
          <w:p w14:paraId="1FC6331A" w14:textId="77777777" w:rsidR="00D82A32" w:rsidRPr="00B211F8" w:rsidRDefault="00D82A32" w:rsidP="00D82A32">
            <w:pPr>
              <w:pStyle w:val="TableParagraph"/>
              <w:spacing w:before="112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5.</w:t>
            </w:r>
          </w:p>
        </w:tc>
        <w:tc>
          <w:tcPr>
            <w:tcW w:w="3569" w:type="dxa"/>
          </w:tcPr>
          <w:p w14:paraId="11A33B33" w14:textId="77777777" w:rsidR="00D82A32" w:rsidRPr="00B211F8" w:rsidRDefault="00D82A32" w:rsidP="00D82A32">
            <w:pPr>
              <w:pStyle w:val="TableParagraph"/>
              <w:spacing w:before="34" w:line="259" w:lineRule="auto"/>
              <w:ind w:right="137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>Liczba udostępnionych on-line dokumentów zawierających informacje sektora publicznego</w:t>
            </w:r>
          </w:p>
        </w:tc>
        <w:tc>
          <w:tcPr>
            <w:tcW w:w="1123" w:type="dxa"/>
            <w:vAlign w:val="center"/>
          </w:tcPr>
          <w:p w14:paraId="3E22C355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56AC695F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2F534505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288B8CB0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0CA0F470" w14:textId="29EF197D" w:rsidR="00D82A32" w:rsidRPr="00B211F8" w:rsidRDefault="00D82A32" w:rsidP="00B211F8">
            <w:pPr>
              <w:pStyle w:val="TableParagraph"/>
              <w:spacing w:before="112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2.00</w:t>
            </w:r>
          </w:p>
        </w:tc>
        <w:tc>
          <w:tcPr>
            <w:tcW w:w="850" w:type="dxa"/>
            <w:vAlign w:val="center"/>
          </w:tcPr>
          <w:p w14:paraId="15CE1E85" w14:textId="3BEC0CCE" w:rsidR="00D82A32" w:rsidRPr="00B211F8" w:rsidRDefault="00D82A32" w:rsidP="00B211F8">
            <w:pPr>
              <w:pStyle w:val="TableParagraph"/>
              <w:spacing w:before="112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2.00</w:t>
            </w:r>
          </w:p>
        </w:tc>
      </w:tr>
      <w:tr w:rsidR="00D82A32" w:rsidRPr="00B211F8" w14:paraId="09B35470" w14:textId="77777777" w:rsidTr="00B211F8">
        <w:trPr>
          <w:trHeight w:val="1441"/>
        </w:trPr>
        <w:tc>
          <w:tcPr>
            <w:tcW w:w="285" w:type="dxa"/>
          </w:tcPr>
          <w:p w14:paraId="79B3B641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3A90D405" w14:textId="77777777" w:rsidR="00D82A32" w:rsidRPr="00B211F8" w:rsidRDefault="00D82A32" w:rsidP="00D82A32">
            <w:pPr>
              <w:pStyle w:val="TableParagraph"/>
              <w:spacing w:before="107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>Opis wskaźnika oraz metodologia jego pomiaru (w tym źródło danych i sposób pomiaru wskaźnika)</w:t>
            </w:r>
          </w:p>
        </w:tc>
        <w:tc>
          <w:tcPr>
            <w:tcW w:w="5812" w:type="dxa"/>
            <w:gridSpan w:val="6"/>
          </w:tcPr>
          <w:p w14:paraId="438D28E6" w14:textId="36C2C44D" w:rsidR="00D82A32" w:rsidRDefault="00D82A32" w:rsidP="00412F4A">
            <w:pPr>
              <w:suppressAutoHyphens w:val="0"/>
              <w:adjustRightInd w:val="0"/>
              <w:spacing w:line="240" w:lineRule="auto"/>
              <w:ind w:left="143" w:right="136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 ramach e-usług udostępnione zostaną następujące dokumenty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zawierające informacje sektora publicznego:</w:t>
            </w:r>
          </w:p>
          <w:p w14:paraId="68F19F4D" w14:textId="77777777" w:rsidR="00412F4A" w:rsidRPr="00B211F8" w:rsidRDefault="00412F4A" w:rsidP="00412F4A">
            <w:pPr>
              <w:suppressAutoHyphens w:val="0"/>
              <w:adjustRightInd w:val="0"/>
              <w:spacing w:line="240" w:lineRule="auto"/>
              <w:ind w:left="143" w:right="136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</w:p>
          <w:p w14:paraId="6575D801" w14:textId="7A7A1068" w:rsidR="00412F4A" w:rsidRDefault="00D82A32" w:rsidP="00412F4A">
            <w:pPr>
              <w:pStyle w:val="Akapitzlist"/>
              <w:numPr>
                <w:ilvl w:val="0"/>
                <w:numId w:val="11"/>
              </w:numPr>
              <w:suppressAutoHyphens w:val="0"/>
              <w:adjustRightInd w:val="0"/>
              <w:spacing w:line="240" w:lineRule="auto"/>
              <w:ind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Informacja o ilości złożonych wniosków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dot. umorzenia należności za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wodę/ścieki i o kwocie umorzonych należności (dla e-usługi nr 11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Wniosek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o umorzenie należności, pkt. 2.2 Studium).</w:t>
            </w:r>
          </w:p>
          <w:p w14:paraId="07491DC2" w14:textId="004AAC42" w:rsidR="00D82A32" w:rsidRPr="00412F4A" w:rsidRDefault="00D82A32" w:rsidP="00412F4A">
            <w:pPr>
              <w:pStyle w:val="Akapitzlist"/>
              <w:numPr>
                <w:ilvl w:val="0"/>
                <w:numId w:val="11"/>
              </w:numPr>
              <w:suppressAutoHyphens w:val="0"/>
              <w:adjustRightInd w:val="0"/>
              <w:spacing w:line="240" w:lineRule="auto"/>
              <w:ind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Informacja o ilości złożonych wniosków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dot. rozłożenia należności na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raty i kwocie należności rozłożonych na raty (dla e-usługi nr 10 w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Wniosek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o rozłożenie należności na raty, pkt. 2.2 Studium).</w:t>
            </w:r>
          </w:p>
          <w:p w14:paraId="2F7CFBE7" w14:textId="77777777" w:rsidR="00412F4A" w:rsidRDefault="00412F4A" w:rsidP="00412F4A">
            <w:pPr>
              <w:suppressAutoHyphens w:val="0"/>
              <w:adjustRightInd w:val="0"/>
              <w:spacing w:line="240" w:lineRule="auto"/>
              <w:ind w:left="143" w:right="136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</w:p>
          <w:p w14:paraId="4B8AFBBE" w14:textId="37D47199" w:rsidR="00D82A32" w:rsidRPr="00B211F8" w:rsidRDefault="00D82A32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Dokumenty będą aktualizowane co kwartał w oparciu o dane z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ostatnich 3 miesięcy.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Dokumenty będą zawierać podstawę prawną dla dokonanych umorzeń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i rozłożenia płatności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na raty (Uchwała nr XXXVII/242/01 Rady Gminy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Dywity z dnia 23 listopada 2001 r. w sprawie szczegółowych zasad i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trybu umarzania wierzytelności z tytułu należności pieniężnych oraz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ustalania ulg w spłacie tych należności).</w:t>
            </w:r>
          </w:p>
          <w:p w14:paraId="7C58C518" w14:textId="77777777" w:rsidR="00412F4A" w:rsidRDefault="00412F4A" w:rsidP="00412F4A">
            <w:pPr>
              <w:suppressAutoHyphens w:val="0"/>
              <w:adjustRightInd w:val="0"/>
              <w:spacing w:line="240" w:lineRule="auto"/>
              <w:ind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</w:p>
          <w:p w14:paraId="6122A8D1" w14:textId="19921472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Sposób pomiaru: Liczba udostępnionych poprzez e-usługi 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on-line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dokumentów zlokalizowanych w bazie danych.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 pomiar wskaźnika odpowiedzialny będzie Wnioskodawca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.</w:t>
            </w:r>
          </w:p>
        </w:tc>
      </w:tr>
      <w:tr w:rsidR="00D82A32" w:rsidRPr="00B211F8" w14:paraId="1AC2F1FA" w14:textId="77777777" w:rsidTr="00B211F8">
        <w:trPr>
          <w:trHeight w:val="451"/>
        </w:trPr>
        <w:tc>
          <w:tcPr>
            <w:tcW w:w="285" w:type="dxa"/>
          </w:tcPr>
          <w:p w14:paraId="3FBAFF7D" w14:textId="77777777" w:rsidR="00D82A32" w:rsidRPr="00B211F8" w:rsidRDefault="00D82A32" w:rsidP="00D82A32">
            <w:pPr>
              <w:pStyle w:val="TableParagraph"/>
              <w:spacing w:before="112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6.</w:t>
            </w:r>
          </w:p>
        </w:tc>
        <w:tc>
          <w:tcPr>
            <w:tcW w:w="3569" w:type="dxa"/>
          </w:tcPr>
          <w:p w14:paraId="03E83E19" w14:textId="77777777" w:rsidR="00D82A32" w:rsidRPr="00B211F8" w:rsidRDefault="00D82A32" w:rsidP="00D82A32">
            <w:pPr>
              <w:pStyle w:val="TableParagraph"/>
              <w:spacing w:before="34" w:line="259" w:lineRule="auto"/>
              <w:ind w:right="1584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>Liczba udostępnionych usług wewnątrzadministracyjnych (A2A)</w:t>
            </w:r>
          </w:p>
        </w:tc>
        <w:tc>
          <w:tcPr>
            <w:tcW w:w="1123" w:type="dxa"/>
            <w:vAlign w:val="center"/>
          </w:tcPr>
          <w:p w14:paraId="7FA2F6D5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29E43A99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33A8C4BE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6C907999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7D95D4D8" w14:textId="372AA026" w:rsidR="00D82A32" w:rsidRPr="00B211F8" w:rsidRDefault="00D82A32" w:rsidP="00B211F8">
            <w:pPr>
              <w:pStyle w:val="TableParagraph"/>
              <w:spacing w:before="112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850" w:type="dxa"/>
            <w:vAlign w:val="center"/>
          </w:tcPr>
          <w:p w14:paraId="781362D1" w14:textId="59133683" w:rsidR="00D82A32" w:rsidRPr="00B211F8" w:rsidRDefault="00D82A32" w:rsidP="00B211F8">
            <w:pPr>
              <w:pStyle w:val="TableParagraph"/>
              <w:spacing w:before="112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</w:tr>
      <w:tr w:rsidR="00D82A32" w:rsidRPr="00B211F8" w14:paraId="6A94B66C" w14:textId="77777777" w:rsidTr="00B211F8">
        <w:trPr>
          <w:trHeight w:val="1120"/>
        </w:trPr>
        <w:tc>
          <w:tcPr>
            <w:tcW w:w="285" w:type="dxa"/>
          </w:tcPr>
          <w:p w14:paraId="43C9B5A6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1B664BA0" w14:textId="1427228C" w:rsidR="00D82A32" w:rsidRPr="00B211F8" w:rsidRDefault="00D82A32" w:rsidP="00D82A32">
            <w:pPr>
              <w:pStyle w:val="TableParagraph"/>
              <w:spacing w:before="107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 xml:space="preserve">Opis wskaźnika oraz metodologia jego pomiaru </w:t>
            </w:r>
            <w:r w:rsidR="00412F4A">
              <w:rPr>
                <w:rFonts w:ascii="Calibri" w:hAnsi="Calibri"/>
                <w:w w:val="105"/>
                <w:lang w:val="pl-PL"/>
              </w:rPr>
              <w:br/>
            </w:r>
            <w:r w:rsidRPr="00B211F8">
              <w:rPr>
                <w:rFonts w:ascii="Calibri" w:hAnsi="Calibri"/>
                <w:w w:val="105"/>
                <w:lang w:val="pl-PL"/>
              </w:rPr>
              <w:t>(w tym źródło danych i sposób pomiaru wskaźnika)</w:t>
            </w:r>
          </w:p>
        </w:tc>
        <w:tc>
          <w:tcPr>
            <w:tcW w:w="5812" w:type="dxa"/>
            <w:gridSpan w:val="6"/>
            <w:vAlign w:val="center"/>
          </w:tcPr>
          <w:p w14:paraId="3E7005A1" w14:textId="35568682" w:rsidR="00D82A32" w:rsidRPr="00B211F8" w:rsidRDefault="00D82A32" w:rsidP="00B211F8">
            <w:pPr>
              <w:pStyle w:val="TableParagraph"/>
              <w:spacing w:before="26" w:line="220" w:lineRule="auto"/>
              <w:ind w:right="38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Nie</w:t>
            </w:r>
            <w:proofErr w:type="spellEnd"/>
            <w:r w:rsidRPr="00B211F8">
              <w:rPr>
                <w:rFonts w:ascii="Calibri" w:hAnsi="Calibri"/>
                <w:w w:val="105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w w:val="105"/>
              </w:rPr>
              <w:t>dotyczy</w:t>
            </w:r>
            <w:proofErr w:type="spellEnd"/>
          </w:p>
        </w:tc>
      </w:tr>
      <w:tr w:rsidR="00D82A32" w:rsidRPr="00B211F8" w14:paraId="4598CD03" w14:textId="77777777" w:rsidTr="00B211F8">
        <w:trPr>
          <w:trHeight w:val="649"/>
        </w:trPr>
        <w:tc>
          <w:tcPr>
            <w:tcW w:w="285" w:type="dxa"/>
          </w:tcPr>
          <w:p w14:paraId="66272B44" w14:textId="77777777" w:rsidR="00D82A32" w:rsidRPr="00B211F8" w:rsidRDefault="00D82A32" w:rsidP="00D82A32">
            <w:pPr>
              <w:pStyle w:val="TableParagraph"/>
              <w:spacing w:before="3"/>
              <w:ind w:left="0"/>
              <w:rPr>
                <w:rFonts w:ascii="Calibri" w:hAnsi="Calibri"/>
              </w:rPr>
            </w:pPr>
          </w:p>
          <w:p w14:paraId="07B3CE56" w14:textId="77777777" w:rsidR="00D82A32" w:rsidRPr="00B211F8" w:rsidRDefault="00D82A32" w:rsidP="00D82A32">
            <w:pPr>
              <w:pStyle w:val="TableParagraph"/>
              <w:spacing w:before="1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7.</w:t>
            </w:r>
          </w:p>
        </w:tc>
        <w:tc>
          <w:tcPr>
            <w:tcW w:w="3569" w:type="dxa"/>
          </w:tcPr>
          <w:p w14:paraId="17FF6BAC" w14:textId="77777777" w:rsidR="00D82A32" w:rsidRPr="00B211F8" w:rsidRDefault="00D82A32" w:rsidP="00D82A32">
            <w:pPr>
              <w:pStyle w:val="TableParagraph"/>
              <w:spacing w:before="28" w:line="190" w:lineRule="atLeast"/>
              <w:ind w:right="137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123" w:type="dxa"/>
            <w:vAlign w:val="center"/>
          </w:tcPr>
          <w:p w14:paraId="6E12F6DF" w14:textId="77777777" w:rsidR="00D82A32" w:rsidRPr="00B211F8" w:rsidRDefault="00D82A32" w:rsidP="00B211F8">
            <w:pPr>
              <w:pStyle w:val="TableParagraph"/>
              <w:spacing w:before="1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52CE51C0" w14:textId="77777777" w:rsidR="00D82A32" w:rsidRPr="00B211F8" w:rsidRDefault="00D82A32" w:rsidP="00B211F8">
            <w:pPr>
              <w:pStyle w:val="TableParagraph"/>
              <w:spacing w:before="1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6C8FA40D" w14:textId="77777777" w:rsidR="00D82A32" w:rsidRPr="00B211F8" w:rsidRDefault="00D82A32" w:rsidP="00B211F8">
            <w:pPr>
              <w:pStyle w:val="TableParagraph"/>
              <w:spacing w:before="1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484CD2F9" w14:textId="77777777" w:rsidR="00D82A32" w:rsidRPr="00B211F8" w:rsidRDefault="00D82A32" w:rsidP="00B211F8">
            <w:pPr>
              <w:pStyle w:val="TableParagraph"/>
              <w:spacing w:before="1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190AAC39" w14:textId="7A3EA367" w:rsidR="00D82A32" w:rsidRPr="00B211F8" w:rsidRDefault="00D82A32" w:rsidP="00B211F8">
            <w:pPr>
              <w:pStyle w:val="TableParagraph"/>
              <w:spacing w:before="1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1.00</w:t>
            </w:r>
          </w:p>
        </w:tc>
        <w:tc>
          <w:tcPr>
            <w:tcW w:w="850" w:type="dxa"/>
            <w:vAlign w:val="center"/>
          </w:tcPr>
          <w:p w14:paraId="78288590" w14:textId="0183CA04" w:rsidR="00D82A32" w:rsidRPr="00B211F8" w:rsidRDefault="00D82A32" w:rsidP="00B211F8">
            <w:pPr>
              <w:pStyle w:val="TableParagraph"/>
              <w:spacing w:before="1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1.00</w:t>
            </w:r>
          </w:p>
        </w:tc>
      </w:tr>
      <w:tr w:rsidR="00D82A32" w:rsidRPr="00B211F8" w14:paraId="1D8DE9CE" w14:textId="77777777" w:rsidTr="00B211F8">
        <w:trPr>
          <w:trHeight w:val="847"/>
        </w:trPr>
        <w:tc>
          <w:tcPr>
            <w:tcW w:w="285" w:type="dxa"/>
          </w:tcPr>
          <w:p w14:paraId="11FDD4EB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4ACA64E0" w14:textId="0DDC6663" w:rsidR="00D82A32" w:rsidRPr="00B211F8" w:rsidRDefault="00D82A32" w:rsidP="00D82A32">
            <w:pPr>
              <w:pStyle w:val="TableParagraph"/>
              <w:spacing w:before="0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 xml:space="preserve">Opis wskaźnika oraz metodologia jego pomiaru </w:t>
            </w:r>
            <w:r w:rsidR="00B211F8">
              <w:rPr>
                <w:rFonts w:ascii="Calibri" w:hAnsi="Calibri"/>
                <w:w w:val="105"/>
                <w:lang w:val="pl-PL"/>
              </w:rPr>
              <w:br/>
            </w:r>
            <w:r w:rsidRPr="00B211F8">
              <w:rPr>
                <w:rFonts w:ascii="Calibri" w:hAnsi="Calibri"/>
                <w:w w:val="105"/>
                <w:lang w:val="pl-PL"/>
              </w:rPr>
              <w:t>(w tym źródło danych i sposób pomiaru wskaźnika)</w:t>
            </w:r>
          </w:p>
        </w:tc>
        <w:tc>
          <w:tcPr>
            <w:tcW w:w="5812" w:type="dxa"/>
            <w:gridSpan w:val="6"/>
          </w:tcPr>
          <w:p w14:paraId="39E2FE91" w14:textId="3C651320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Platforma telemetryczna oparta na odczycie danych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 urządzeń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pomiarowych z 11 e-usługami utworzy system teleinformatyczny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obsługujący interesariuszy Projektu - gospodarstwa domowe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(obywatele) i przedsiębiorstwa (kontrahenci) z terenu Gminy Dywity.</w:t>
            </w:r>
          </w:p>
          <w:p w14:paraId="652DDA50" w14:textId="77777777" w:rsidR="00412F4A" w:rsidRPr="00412F4A" w:rsidRDefault="00412F4A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</w:p>
          <w:p w14:paraId="518CB1CD" w14:textId="05F2189B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Sposób pomiaru: protokół odbioru końcowy w pełni funkcjonalnego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systemu telemetrii i e-usług zatwierdzony przez inżyniera kontraktu i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Gminę Dywity.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 pomiar wskaźnika odpowiedzialny będzie Wnioskodawca</w:t>
            </w:r>
          </w:p>
        </w:tc>
      </w:tr>
      <w:tr w:rsidR="00D82A32" w:rsidRPr="00B211F8" w14:paraId="599FB14B" w14:textId="77777777" w:rsidTr="00B211F8">
        <w:trPr>
          <w:trHeight w:val="451"/>
        </w:trPr>
        <w:tc>
          <w:tcPr>
            <w:tcW w:w="285" w:type="dxa"/>
          </w:tcPr>
          <w:p w14:paraId="684F3FA0" w14:textId="77777777" w:rsidR="00D82A32" w:rsidRPr="00B211F8" w:rsidRDefault="00D82A32" w:rsidP="00D82A32">
            <w:pPr>
              <w:pStyle w:val="TableParagraph"/>
              <w:spacing w:before="112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8.</w:t>
            </w:r>
          </w:p>
        </w:tc>
        <w:tc>
          <w:tcPr>
            <w:tcW w:w="3569" w:type="dxa"/>
          </w:tcPr>
          <w:p w14:paraId="4348DB61" w14:textId="77777777" w:rsidR="00D82A32" w:rsidRPr="00B211F8" w:rsidRDefault="00D82A32" w:rsidP="00D82A32">
            <w:pPr>
              <w:pStyle w:val="TableParagraph"/>
              <w:spacing w:before="34" w:line="259" w:lineRule="auto"/>
              <w:ind w:right="118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>Liczba usług publicznych udostępnionych on-line o stopniu dojrzałości 3 – dwustronna interakcja</w:t>
            </w:r>
          </w:p>
        </w:tc>
        <w:tc>
          <w:tcPr>
            <w:tcW w:w="1123" w:type="dxa"/>
            <w:vAlign w:val="center"/>
          </w:tcPr>
          <w:p w14:paraId="5D14F48C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07F696AC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19FF08F9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6807ECAE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130FC035" w14:textId="3567E9B2" w:rsidR="00D82A32" w:rsidRPr="00B211F8" w:rsidRDefault="00D82A32" w:rsidP="00B211F8">
            <w:pPr>
              <w:pStyle w:val="TableParagraph"/>
              <w:spacing w:before="112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10.00</w:t>
            </w:r>
          </w:p>
        </w:tc>
        <w:tc>
          <w:tcPr>
            <w:tcW w:w="850" w:type="dxa"/>
            <w:vAlign w:val="center"/>
          </w:tcPr>
          <w:p w14:paraId="5E4D616E" w14:textId="6E7D1ED6" w:rsidR="00D82A32" w:rsidRPr="00B211F8" w:rsidRDefault="00D82A32" w:rsidP="00B211F8">
            <w:pPr>
              <w:pStyle w:val="TableParagraph"/>
              <w:spacing w:before="112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10.00</w:t>
            </w:r>
          </w:p>
        </w:tc>
      </w:tr>
      <w:tr w:rsidR="00D82A32" w:rsidRPr="00B211F8" w14:paraId="74CFC7B5" w14:textId="77777777" w:rsidTr="00B211F8">
        <w:trPr>
          <w:trHeight w:val="1045"/>
        </w:trPr>
        <w:tc>
          <w:tcPr>
            <w:tcW w:w="285" w:type="dxa"/>
          </w:tcPr>
          <w:p w14:paraId="5E617F82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1A45C422" w14:textId="0C9B8A4B" w:rsidR="00D82A32" w:rsidRPr="00B211F8" w:rsidRDefault="00D82A32" w:rsidP="00D82A32">
            <w:pPr>
              <w:pStyle w:val="TableParagraph"/>
              <w:spacing w:before="116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 xml:space="preserve">Opis wskaźnika oraz metodologia jego pomiaru </w:t>
            </w:r>
            <w:r w:rsidR="00412F4A">
              <w:rPr>
                <w:rFonts w:ascii="Calibri" w:hAnsi="Calibri"/>
                <w:w w:val="105"/>
                <w:lang w:val="pl-PL"/>
              </w:rPr>
              <w:br/>
            </w:r>
            <w:r w:rsidRPr="00B211F8">
              <w:rPr>
                <w:rFonts w:ascii="Calibri" w:hAnsi="Calibri"/>
                <w:w w:val="105"/>
                <w:lang w:val="pl-PL"/>
              </w:rPr>
              <w:t>(w tym źródło danych i sposób pomiaru wskaźnika)</w:t>
            </w:r>
          </w:p>
        </w:tc>
        <w:tc>
          <w:tcPr>
            <w:tcW w:w="5812" w:type="dxa"/>
            <w:gridSpan w:val="6"/>
          </w:tcPr>
          <w:p w14:paraId="7C33DCC4" w14:textId="77777777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Dla interesariuszy Projektu zostanie udostępnionych 10 usług</w:t>
            </w:r>
          </w:p>
          <w:p w14:paraId="01820A3F" w14:textId="32BB23F9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publicznych związanych z obsługą gospodarki wodociągowej Gminy o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stopniu dojrzałości 3, szczegółowa lista usług znajduje się w pkt. 2.2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Studium Wykonalności. Sposób pomiaru: protokół odbioru w pełni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funkcjonalnego systemu telemetrii i e-usług zatwierdzony przez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inżyniera kontraktu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i Gminę Dywity.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 pomiar wskaźnika odpowiedzialny będzie Wnioskodawca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.</w:t>
            </w:r>
          </w:p>
        </w:tc>
      </w:tr>
      <w:tr w:rsidR="00D82A32" w:rsidRPr="00B211F8" w14:paraId="7BC06E8E" w14:textId="77777777" w:rsidTr="00B211F8">
        <w:trPr>
          <w:trHeight w:val="649"/>
        </w:trPr>
        <w:tc>
          <w:tcPr>
            <w:tcW w:w="285" w:type="dxa"/>
          </w:tcPr>
          <w:p w14:paraId="622D6D21" w14:textId="77777777" w:rsidR="00D82A32" w:rsidRPr="00B211F8" w:rsidRDefault="00D82A32" w:rsidP="00D82A32">
            <w:pPr>
              <w:pStyle w:val="TableParagraph"/>
              <w:spacing w:before="3"/>
              <w:ind w:left="0"/>
              <w:rPr>
                <w:rFonts w:ascii="Calibri" w:hAnsi="Calibri"/>
                <w:lang w:val="pl-PL"/>
              </w:rPr>
            </w:pPr>
          </w:p>
          <w:p w14:paraId="03C07278" w14:textId="77777777" w:rsidR="00D82A32" w:rsidRPr="00B211F8" w:rsidRDefault="00D82A32" w:rsidP="00D82A32">
            <w:pPr>
              <w:pStyle w:val="TableParagraph"/>
              <w:spacing w:before="1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9.</w:t>
            </w:r>
          </w:p>
        </w:tc>
        <w:tc>
          <w:tcPr>
            <w:tcW w:w="3569" w:type="dxa"/>
          </w:tcPr>
          <w:p w14:paraId="08F41327" w14:textId="461526A7" w:rsidR="00D82A32" w:rsidRPr="00B211F8" w:rsidRDefault="00D82A32" w:rsidP="00D82A32">
            <w:pPr>
              <w:pStyle w:val="TableParagraph"/>
              <w:spacing w:before="28" w:line="190" w:lineRule="atLeast"/>
              <w:ind w:right="118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 xml:space="preserve">Liczba usług publicznych udostępnionych on-line o stopniu dojrzałości co najmniej </w:t>
            </w:r>
            <w:r w:rsidR="00412F4A">
              <w:rPr>
                <w:rFonts w:ascii="Calibri" w:hAnsi="Calibri"/>
                <w:b/>
                <w:w w:val="110"/>
                <w:lang w:val="pl-PL"/>
              </w:rPr>
              <w:br/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>3 – dwustronna interakcja</w:t>
            </w:r>
          </w:p>
        </w:tc>
        <w:tc>
          <w:tcPr>
            <w:tcW w:w="1123" w:type="dxa"/>
            <w:vAlign w:val="center"/>
          </w:tcPr>
          <w:p w14:paraId="1AB1D8A6" w14:textId="77777777" w:rsidR="00D82A32" w:rsidRPr="00B211F8" w:rsidRDefault="00D82A32" w:rsidP="00B211F8">
            <w:pPr>
              <w:pStyle w:val="TableParagraph"/>
              <w:spacing w:before="1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75508E3D" w14:textId="77777777" w:rsidR="00D82A32" w:rsidRPr="00B211F8" w:rsidRDefault="00D82A32" w:rsidP="00B211F8">
            <w:pPr>
              <w:pStyle w:val="TableParagraph"/>
              <w:spacing w:before="1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42FACEE0" w14:textId="77777777" w:rsidR="00D82A32" w:rsidRPr="00B211F8" w:rsidRDefault="00D82A32" w:rsidP="00B211F8">
            <w:pPr>
              <w:pStyle w:val="TableParagraph"/>
              <w:spacing w:before="1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5393389B" w14:textId="77777777" w:rsidR="00D82A32" w:rsidRPr="00B211F8" w:rsidRDefault="00D82A32" w:rsidP="00B211F8">
            <w:pPr>
              <w:pStyle w:val="TableParagraph"/>
              <w:spacing w:before="1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6B06091A" w14:textId="0156CD5B" w:rsidR="00D82A32" w:rsidRPr="00B211F8" w:rsidRDefault="00D82A32" w:rsidP="00B211F8">
            <w:pPr>
              <w:pStyle w:val="TableParagraph"/>
              <w:spacing w:before="1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11.00</w:t>
            </w:r>
          </w:p>
        </w:tc>
        <w:tc>
          <w:tcPr>
            <w:tcW w:w="850" w:type="dxa"/>
            <w:vAlign w:val="center"/>
          </w:tcPr>
          <w:p w14:paraId="223C3B6C" w14:textId="70AC7F0E" w:rsidR="00D82A32" w:rsidRPr="00B211F8" w:rsidRDefault="00D82A32" w:rsidP="00B211F8">
            <w:pPr>
              <w:pStyle w:val="TableParagraph"/>
              <w:spacing w:before="1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11.00</w:t>
            </w:r>
          </w:p>
        </w:tc>
      </w:tr>
      <w:tr w:rsidR="00D82A32" w:rsidRPr="00B211F8" w14:paraId="4F3431AE" w14:textId="77777777" w:rsidTr="00B211F8">
        <w:trPr>
          <w:trHeight w:val="847"/>
        </w:trPr>
        <w:tc>
          <w:tcPr>
            <w:tcW w:w="285" w:type="dxa"/>
          </w:tcPr>
          <w:p w14:paraId="205E3300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578E8217" w14:textId="3478B27B" w:rsidR="00D82A32" w:rsidRPr="00B211F8" w:rsidRDefault="00D82A32" w:rsidP="00D82A32">
            <w:pPr>
              <w:pStyle w:val="TableParagraph"/>
              <w:spacing w:before="0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 xml:space="preserve">Opis wskaźnika oraz metodologia jego pomiaru </w:t>
            </w:r>
            <w:r w:rsidR="00412F4A">
              <w:rPr>
                <w:rFonts w:ascii="Calibri" w:hAnsi="Calibri"/>
                <w:w w:val="105"/>
                <w:lang w:val="pl-PL"/>
              </w:rPr>
              <w:br/>
            </w:r>
            <w:r w:rsidRPr="00B211F8">
              <w:rPr>
                <w:rFonts w:ascii="Calibri" w:hAnsi="Calibri"/>
                <w:w w:val="105"/>
                <w:lang w:val="pl-PL"/>
              </w:rPr>
              <w:t>(w tym źródło danych i sposób pomiaru wskaźnika)</w:t>
            </w:r>
          </w:p>
        </w:tc>
        <w:tc>
          <w:tcPr>
            <w:tcW w:w="5812" w:type="dxa"/>
            <w:gridSpan w:val="6"/>
          </w:tcPr>
          <w:p w14:paraId="73D945D1" w14:textId="77777777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Dla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interesariuszy Projektu zostanie udostępnionych 11 usług</w:t>
            </w:r>
          </w:p>
          <w:p w14:paraId="11218D3E" w14:textId="3194AD3F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publicznych związanych z obsługą gospodarki wodociągowej Gminy o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stopniu dojrzałości co najmniej 3, szczegółowa lista usług znajduje się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 pkt. 2.2 Studium Wykonalności. Sposób pomiaru: protokół odbioru w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pełni funkcjonalnego systemu telemetrii i e-usług Sposób pomiaru: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protokół odbioru w pełni funkcjonalnego systemu telemetrii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i e-usług</w:t>
            </w:r>
            <w:r w:rsidR="00B211F8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zatwierdzon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y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przez inżyniera kontraktu i Gminę Dywity.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 pomiar wskaźnika odpowiedzialny będzie Wnioskodawca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.</w:t>
            </w:r>
          </w:p>
        </w:tc>
      </w:tr>
      <w:tr w:rsidR="00D82A32" w:rsidRPr="00B211F8" w14:paraId="064F79ED" w14:textId="77777777" w:rsidTr="00B211F8">
        <w:trPr>
          <w:trHeight w:val="451"/>
        </w:trPr>
        <w:tc>
          <w:tcPr>
            <w:tcW w:w="285" w:type="dxa"/>
          </w:tcPr>
          <w:p w14:paraId="2062B5DB" w14:textId="77777777" w:rsidR="00D82A32" w:rsidRPr="00B211F8" w:rsidRDefault="00D82A32" w:rsidP="00D82A32">
            <w:pPr>
              <w:pStyle w:val="TableParagraph"/>
              <w:spacing w:before="112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10.</w:t>
            </w:r>
          </w:p>
        </w:tc>
        <w:tc>
          <w:tcPr>
            <w:tcW w:w="3569" w:type="dxa"/>
          </w:tcPr>
          <w:p w14:paraId="05E75DA4" w14:textId="43DC427C" w:rsidR="00D82A32" w:rsidRPr="00B211F8" w:rsidRDefault="00D82A32" w:rsidP="00D82A32">
            <w:pPr>
              <w:pStyle w:val="TableParagraph"/>
              <w:spacing w:before="34" w:line="259" w:lineRule="auto"/>
              <w:ind w:right="118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 xml:space="preserve">Liczba usług publicznych udostępnionych on-line o stopniu dojrzałości co najmniej </w:t>
            </w:r>
            <w:r w:rsidR="00B211F8">
              <w:rPr>
                <w:rFonts w:ascii="Calibri" w:hAnsi="Calibri"/>
                <w:b/>
                <w:w w:val="110"/>
                <w:lang w:val="pl-PL"/>
              </w:rPr>
              <w:br/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>4 – transakcja</w:t>
            </w:r>
          </w:p>
        </w:tc>
        <w:tc>
          <w:tcPr>
            <w:tcW w:w="1123" w:type="dxa"/>
            <w:vAlign w:val="center"/>
          </w:tcPr>
          <w:p w14:paraId="18001035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557A7A80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56BA51A5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44DB1C47" w14:textId="77777777" w:rsidR="00D82A32" w:rsidRPr="00B211F8" w:rsidRDefault="00D82A32" w:rsidP="00B211F8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24D8BADE" w14:textId="6B0C35CC" w:rsidR="00D82A32" w:rsidRPr="00B211F8" w:rsidRDefault="00D82A32" w:rsidP="00B211F8">
            <w:pPr>
              <w:pStyle w:val="TableParagraph"/>
              <w:spacing w:before="112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1.00</w:t>
            </w:r>
          </w:p>
        </w:tc>
        <w:tc>
          <w:tcPr>
            <w:tcW w:w="850" w:type="dxa"/>
            <w:vAlign w:val="center"/>
          </w:tcPr>
          <w:p w14:paraId="29859FC8" w14:textId="4E78C620" w:rsidR="00D82A32" w:rsidRPr="00B211F8" w:rsidRDefault="00D82A32" w:rsidP="00B211F8">
            <w:pPr>
              <w:pStyle w:val="TableParagraph"/>
              <w:spacing w:before="112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1.00</w:t>
            </w:r>
          </w:p>
        </w:tc>
      </w:tr>
      <w:tr w:rsidR="00D82A32" w:rsidRPr="00B211F8" w14:paraId="6F247202" w14:textId="77777777" w:rsidTr="00B211F8">
        <w:trPr>
          <w:trHeight w:val="847"/>
        </w:trPr>
        <w:tc>
          <w:tcPr>
            <w:tcW w:w="285" w:type="dxa"/>
          </w:tcPr>
          <w:p w14:paraId="32052A67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10801477" w14:textId="2FC72214" w:rsidR="00D82A32" w:rsidRPr="00B211F8" w:rsidRDefault="00D82A32" w:rsidP="00D82A32">
            <w:pPr>
              <w:pStyle w:val="TableParagraph"/>
              <w:spacing w:before="0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 xml:space="preserve">Opis wskaźnika oraz metodologia jego pomiaru </w:t>
            </w:r>
            <w:r w:rsidR="00412F4A">
              <w:rPr>
                <w:rFonts w:ascii="Calibri" w:hAnsi="Calibri"/>
                <w:w w:val="105"/>
                <w:lang w:val="pl-PL"/>
              </w:rPr>
              <w:br/>
            </w:r>
            <w:r w:rsidRPr="00B211F8">
              <w:rPr>
                <w:rFonts w:ascii="Calibri" w:hAnsi="Calibri"/>
                <w:w w:val="105"/>
                <w:lang w:val="pl-PL"/>
              </w:rPr>
              <w:t>(w tym źródło danych i sposób pomiaru wskaźnika)</w:t>
            </w:r>
          </w:p>
        </w:tc>
        <w:tc>
          <w:tcPr>
            <w:tcW w:w="5812" w:type="dxa"/>
            <w:gridSpan w:val="6"/>
          </w:tcPr>
          <w:p w14:paraId="1C9DDC98" w14:textId="20CFD365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Dla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interesariuszy Projektu zostanie udostępniona 1 usługa publiczna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związana z obsługą gospodarki wodociągowej Gminy o stopniu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dojrzałości 4, polega ona na możliwości dokonywania płatności on-line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przez interesariuszy, szczegółowy opis w pkt. 2.2 Studium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Wykonalności. Sposób pomiaru: protokół odbioru w pełni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funkcjonalnego systemu telemetrii i e-usług. Sposób pomiaru: protokół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odbioru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 pełni funkcjonalnego systemu telemetrii i e-usług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zatwierdzony przez inżyniera kontraktu i Gminę Dywity.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 pomiar wskaźnika odpowiedzialny będzie Wnioskodawca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.</w:t>
            </w:r>
          </w:p>
        </w:tc>
      </w:tr>
      <w:tr w:rsidR="00D82A32" w:rsidRPr="00B211F8" w14:paraId="12B9724E" w14:textId="77777777" w:rsidTr="00412F4A">
        <w:trPr>
          <w:trHeight w:val="253"/>
        </w:trPr>
        <w:tc>
          <w:tcPr>
            <w:tcW w:w="285" w:type="dxa"/>
          </w:tcPr>
          <w:p w14:paraId="643698CE" w14:textId="77777777" w:rsidR="00D82A32" w:rsidRPr="00B211F8" w:rsidRDefault="00D82A32" w:rsidP="00D82A32">
            <w:pPr>
              <w:pStyle w:val="TableParagraph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11.</w:t>
            </w:r>
          </w:p>
        </w:tc>
        <w:tc>
          <w:tcPr>
            <w:tcW w:w="3569" w:type="dxa"/>
          </w:tcPr>
          <w:p w14:paraId="1D910E33" w14:textId="77777777" w:rsidR="00D82A32" w:rsidRPr="00B211F8" w:rsidRDefault="00D82A32" w:rsidP="00D82A32">
            <w:pPr>
              <w:pStyle w:val="TableParagraph"/>
              <w:spacing w:before="34"/>
              <w:rPr>
                <w:rFonts w:ascii="Calibri" w:hAnsi="Calibri"/>
                <w:b/>
              </w:rPr>
            </w:pPr>
            <w:proofErr w:type="spellStart"/>
            <w:r w:rsidRPr="00B211F8">
              <w:rPr>
                <w:rFonts w:ascii="Calibri" w:hAnsi="Calibri"/>
                <w:b/>
                <w:w w:val="105"/>
              </w:rPr>
              <w:t>Liczba</w:t>
            </w:r>
            <w:proofErr w:type="spellEnd"/>
            <w:r w:rsidRPr="00B211F8">
              <w:rPr>
                <w:rFonts w:ascii="Calibri" w:hAnsi="Calibri"/>
                <w:b/>
                <w:w w:val="105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b/>
                <w:w w:val="105"/>
              </w:rPr>
              <w:t>utworzonych</w:t>
            </w:r>
            <w:proofErr w:type="spellEnd"/>
            <w:r w:rsidRPr="00B211F8">
              <w:rPr>
                <w:rFonts w:ascii="Calibri" w:hAnsi="Calibri"/>
                <w:b/>
                <w:w w:val="105"/>
              </w:rPr>
              <w:t xml:space="preserve"> API</w:t>
            </w:r>
          </w:p>
        </w:tc>
        <w:tc>
          <w:tcPr>
            <w:tcW w:w="1123" w:type="dxa"/>
            <w:vAlign w:val="center"/>
          </w:tcPr>
          <w:p w14:paraId="60DA7B90" w14:textId="77777777" w:rsidR="00D82A32" w:rsidRPr="00B211F8" w:rsidRDefault="00D82A32" w:rsidP="00412F4A">
            <w:pPr>
              <w:pStyle w:val="TableParagraph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38C336A1" w14:textId="77777777" w:rsidR="00D82A32" w:rsidRPr="00B211F8" w:rsidRDefault="00D82A32" w:rsidP="00412F4A">
            <w:pPr>
              <w:pStyle w:val="TableParagraph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341386DF" w14:textId="77777777" w:rsidR="00D82A32" w:rsidRPr="00B211F8" w:rsidRDefault="00D82A32" w:rsidP="00412F4A">
            <w:pPr>
              <w:pStyle w:val="TableParagraph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6C29DE51" w14:textId="77777777" w:rsidR="00D82A32" w:rsidRPr="00B211F8" w:rsidRDefault="00D82A32" w:rsidP="00412F4A">
            <w:pPr>
              <w:pStyle w:val="TableParagraph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709" w:type="dxa"/>
            <w:vAlign w:val="center"/>
          </w:tcPr>
          <w:p w14:paraId="1D42CA4E" w14:textId="77777777" w:rsidR="00D82A32" w:rsidRPr="00B211F8" w:rsidRDefault="00D82A32" w:rsidP="00412F4A">
            <w:pPr>
              <w:pStyle w:val="TableParagraph"/>
              <w:ind w:left="28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1.00</w:t>
            </w:r>
          </w:p>
        </w:tc>
        <w:tc>
          <w:tcPr>
            <w:tcW w:w="850" w:type="dxa"/>
            <w:vAlign w:val="center"/>
          </w:tcPr>
          <w:p w14:paraId="2657D600" w14:textId="77777777" w:rsidR="00D82A32" w:rsidRPr="00B211F8" w:rsidRDefault="00D82A32" w:rsidP="00412F4A">
            <w:pPr>
              <w:pStyle w:val="TableParagraph"/>
              <w:ind w:left="27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1.00</w:t>
            </w:r>
          </w:p>
        </w:tc>
      </w:tr>
      <w:tr w:rsidR="00D82A32" w:rsidRPr="00B211F8" w14:paraId="2B8B4A5C" w14:textId="77777777" w:rsidTr="00B211F8">
        <w:trPr>
          <w:trHeight w:val="649"/>
        </w:trPr>
        <w:tc>
          <w:tcPr>
            <w:tcW w:w="285" w:type="dxa"/>
          </w:tcPr>
          <w:p w14:paraId="6F62C591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3B424476" w14:textId="5FED87F5" w:rsidR="00D82A32" w:rsidRPr="00B211F8" w:rsidRDefault="00D82A32" w:rsidP="00D82A32">
            <w:pPr>
              <w:pStyle w:val="TableParagraph"/>
              <w:spacing w:before="125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 xml:space="preserve">Opis wskaźnika oraz metodologia jego pomiaru </w:t>
            </w:r>
            <w:r w:rsidR="00412F4A">
              <w:rPr>
                <w:rFonts w:ascii="Calibri" w:hAnsi="Calibri"/>
                <w:w w:val="105"/>
                <w:lang w:val="pl-PL"/>
              </w:rPr>
              <w:br/>
            </w:r>
            <w:r w:rsidRPr="00B211F8">
              <w:rPr>
                <w:rFonts w:ascii="Calibri" w:hAnsi="Calibri"/>
                <w:w w:val="105"/>
                <w:lang w:val="pl-PL"/>
              </w:rPr>
              <w:t>(w tym źródło danych i sposób pomiaru wskaźnika)</w:t>
            </w:r>
          </w:p>
        </w:tc>
        <w:tc>
          <w:tcPr>
            <w:tcW w:w="5812" w:type="dxa"/>
            <w:gridSpan w:val="6"/>
          </w:tcPr>
          <w:p w14:paraId="48666715" w14:textId="199BFE14" w:rsidR="00D82A32" w:rsidRPr="00B211F8" w:rsidRDefault="00D82A32" w:rsidP="00412F4A">
            <w:pPr>
              <w:suppressAutoHyphens w:val="0"/>
              <w:adjustRightInd w:val="0"/>
              <w:spacing w:line="240" w:lineRule="auto"/>
              <w:ind w:left="143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Wskaźnik oznacza liczbę utworzonych w ramach projektu API. Zostanie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utworzone API pozwalające w przyszłości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na integrację dostarczanego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 ramach projektu systemu telemetrycznego z rozwiązaniami dla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odbiorców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np. przyszłymi rozwiązaniami ogólnokrajowymi na wzór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Krajowego Systemu Ostrzegania czy też rozwiązań planowanych w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ramach nowego prawa wodnego.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API pozwoli również na integrację z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platformą telemetryczną nowych rozwiązań dostarczając nowyc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h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danych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np. informacje z nowych/dodatkowych urządzeń pomiarowych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nie przewidzianych aktualnie w projekcie.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Sposób pomiaru: protokół odbioru w pełni funkcjonalnego systemu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telemetrii i e-usług zatwierdzony przez inżyniera kontraktu i Gminę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Dywity.</w:t>
            </w:r>
          </w:p>
          <w:p w14:paraId="78493536" w14:textId="1B8D66E0" w:rsidR="00D82A32" w:rsidRPr="00B211F8" w:rsidRDefault="00D82A32" w:rsidP="00D82A32">
            <w:pPr>
              <w:pStyle w:val="TableParagraph"/>
              <w:spacing w:before="26" w:line="220" w:lineRule="auto"/>
              <w:ind w:right="33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eastAsiaTheme="minorEastAsia" w:hAnsi="Calibri" w:cs="DejaVuSansCondensed"/>
                <w:lang w:val="pl-PL"/>
              </w:rPr>
              <w:t>Za pomiar wskaźnika odpowiedzialny będzie Wnioskodawca</w:t>
            </w:r>
          </w:p>
        </w:tc>
      </w:tr>
      <w:tr w:rsidR="00D82A32" w:rsidRPr="00B211F8" w14:paraId="59028BAA" w14:textId="77777777" w:rsidTr="00B211F8">
        <w:trPr>
          <w:trHeight w:val="451"/>
        </w:trPr>
        <w:tc>
          <w:tcPr>
            <w:tcW w:w="285" w:type="dxa"/>
          </w:tcPr>
          <w:p w14:paraId="19B07AEC" w14:textId="77777777" w:rsidR="00D82A32" w:rsidRPr="00B211F8" w:rsidRDefault="00D82A32" w:rsidP="00D82A32">
            <w:pPr>
              <w:pStyle w:val="TableParagraph"/>
              <w:spacing w:before="112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12.</w:t>
            </w:r>
          </w:p>
        </w:tc>
        <w:tc>
          <w:tcPr>
            <w:tcW w:w="3569" w:type="dxa"/>
          </w:tcPr>
          <w:p w14:paraId="22687EDC" w14:textId="5D2CBCAA" w:rsidR="00D82A32" w:rsidRPr="00B211F8" w:rsidRDefault="00D82A32" w:rsidP="00D82A32">
            <w:pPr>
              <w:pStyle w:val="TableParagraph"/>
              <w:spacing w:before="34" w:line="259" w:lineRule="auto"/>
              <w:ind w:right="137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 xml:space="preserve">Liczba </w:t>
            </w:r>
            <w:proofErr w:type="spellStart"/>
            <w:r w:rsidRPr="00B211F8">
              <w:rPr>
                <w:rFonts w:ascii="Calibri" w:hAnsi="Calibri"/>
                <w:b/>
                <w:w w:val="110"/>
                <w:lang w:val="pl-PL"/>
              </w:rPr>
              <w:t>zd</w:t>
            </w:r>
            <w:r w:rsidR="00412F4A">
              <w:rPr>
                <w:rFonts w:ascii="Calibri" w:hAnsi="Calibri"/>
                <w:b/>
                <w:w w:val="110"/>
                <w:lang w:val="pl-PL"/>
              </w:rPr>
              <w:t>i</w:t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>gitalizowanych</w:t>
            </w:r>
            <w:proofErr w:type="spellEnd"/>
            <w:r w:rsidRPr="00B211F8">
              <w:rPr>
                <w:rFonts w:ascii="Calibri" w:hAnsi="Calibri"/>
                <w:b/>
                <w:w w:val="110"/>
                <w:lang w:val="pl-PL"/>
              </w:rPr>
              <w:t xml:space="preserve"> dokumentów zawierających informacje sektora publicznego</w:t>
            </w:r>
          </w:p>
        </w:tc>
        <w:tc>
          <w:tcPr>
            <w:tcW w:w="1123" w:type="dxa"/>
            <w:vAlign w:val="center"/>
          </w:tcPr>
          <w:p w14:paraId="1DD79092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1287" w:type="dxa"/>
            <w:vAlign w:val="center"/>
          </w:tcPr>
          <w:p w14:paraId="71D1F1ED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1134" w:type="dxa"/>
            <w:vAlign w:val="center"/>
          </w:tcPr>
          <w:p w14:paraId="1E3AF67A" w14:textId="77777777" w:rsidR="00D82A32" w:rsidRPr="00B211F8" w:rsidRDefault="00D82A32" w:rsidP="00B211F8">
            <w:pPr>
              <w:pStyle w:val="TableParagraph"/>
              <w:spacing w:before="0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14:paraId="570E7704" w14:textId="77777777" w:rsidR="00D82A32" w:rsidRPr="00B211F8" w:rsidRDefault="00D82A32" w:rsidP="00B211F8">
            <w:pPr>
              <w:pStyle w:val="TableParagraph"/>
              <w:spacing w:before="0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709" w:type="dxa"/>
            <w:vAlign w:val="center"/>
          </w:tcPr>
          <w:p w14:paraId="60F8C658" w14:textId="77777777" w:rsidR="00D82A32" w:rsidRPr="00B211F8" w:rsidRDefault="00D82A32" w:rsidP="00B211F8">
            <w:pPr>
              <w:pStyle w:val="TableParagraph"/>
              <w:spacing w:before="0"/>
              <w:ind w:left="0"/>
              <w:jc w:val="center"/>
              <w:rPr>
                <w:rFonts w:ascii="Calibri" w:hAnsi="Calibri"/>
              </w:rPr>
            </w:pPr>
          </w:p>
        </w:tc>
        <w:tc>
          <w:tcPr>
            <w:tcW w:w="850" w:type="dxa"/>
            <w:vAlign w:val="center"/>
          </w:tcPr>
          <w:p w14:paraId="42DDFB68" w14:textId="77777777" w:rsidR="00D82A32" w:rsidRPr="00B211F8" w:rsidRDefault="00D82A32" w:rsidP="00B211F8">
            <w:pPr>
              <w:pStyle w:val="TableParagraph"/>
              <w:spacing w:before="0"/>
              <w:ind w:left="0"/>
              <w:jc w:val="center"/>
              <w:rPr>
                <w:rFonts w:ascii="Calibri" w:hAnsi="Calibri"/>
              </w:rPr>
            </w:pPr>
          </w:p>
        </w:tc>
      </w:tr>
      <w:tr w:rsidR="00D82A32" w:rsidRPr="00B211F8" w14:paraId="57B4EF26" w14:textId="77777777" w:rsidTr="00B211F8">
        <w:trPr>
          <w:trHeight w:val="451"/>
        </w:trPr>
        <w:tc>
          <w:tcPr>
            <w:tcW w:w="285" w:type="dxa"/>
          </w:tcPr>
          <w:p w14:paraId="51B4CC27" w14:textId="77777777" w:rsidR="00D82A32" w:rsidRPr="00B211F8" w:rsidRDefault="00D82A32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3569" w:type="dxa"/>
          </w:tcPr>
          <w:p w14:paraId="2008D461" w14:textId="184EA418" w:rsidR="00D82A32" w:rsidRPr="00B211F8" w:rsidRDefault="00D82A32" w:rsidP="00D82A32">
            <w:pPr>
              <w:pStyle w:val="TableParagraph"/>
              <w:spacing w:before="26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 xml:space="preserve">Opis wskaźnika oraz metodologia jego pomiaru </w:t>
            </w:r>
            <w:r w:rsidR="00412F4A">
              <w:rPr>
                <w:rFonts w:ascii="Calibri" w:hAnsi="Calibri"/>
                <w:w w:val="105"/>
                <w:lang w:val="pl-PL"/>
              </w:rPr>
              <w:br/>
            </w:r>
            <w:r w:rsidRPr="00B211F8">
              <w:rPr>
                <w:rFonts w:ascii="Calibri" w:hAnsi="Calibri"/>
                <w:w w:val="105"/>
                <w:lang w:val="pl-PL"/>
              </w:rPr>
              <w:t>(w tym źródło danych i sposób pomiaru wskaźnika)</w:t>
            </w:r>
          </w:p>
        </w:tc>
        <w:tc>
          <w:tcPr>
            <w:tcW w:w="5812" w:type="dxa"/>
            <w:gridSpan w:val="6"/>
            <w:vAlign w:val="center"/>
          </w:tcPr>
          <w:p w14:paraId="0DC84969" w14:textId="77777777" w:rsidR="00D82A32" w:rsidRPr="00B211F8" w:rsidRDefault="00D82A32" w:rsidP="00B211F8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nie</w:t>
            </w:r>
            <w:proofErr w:type="spellEnd"/>
            <w:r w:rsidRPr="00B211F8">
              <w:rPr>
                <w:rFonts w:ascii="Calibri" w:hAnsi="Calibri"/>
                <w:w w:val="105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w w:val="105"/>
              </w:rPr>
              <w:t>dotyczy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</w:tr>
    </w:tbl>
    <w:p w14:paraId="178B979F" w14:textId="77777777" w:rsidR="006F2B23" w:rsidRPr="00B211F8" w:rsidRDefault="006F2B23" w:rsidP="006F2B23">
      <w:pPr>
        <w:rPr>
          <w:rFonts w:ascii="Calibri" w:hAnsi="Calibri"/>
          <w:sz w:val="22"/>
          <w:szCs w:val="22"/>
        </w:rPr>
      </w:pPr>
    </w:p>
    <w:p w14:paraId="17A78DC4" w14:textId="77777777" w:rsidR="006F2B23" w:rsidRPr="00B211F8" w:rsidRDefault="006F2B23" w:rsidP="006F2B23">
      <w:pPr>
        <w:pStyle w:val="Akapitzlist"/>
        <w:widowControl w:val="0"/>
        <w:numPr>
          <w:ilvl w:val="0"/>
          <w:numId w:val="5"/>
        </w:numPr>
        <w:tabs>
          <w:tab w:val="left" w:pos="332"/>
        </w:tabs>
        <w:suppressAutoHyphens w:val="0"/>
        <w:autoSpaceDE w:val="0"/>
        <w:autoSpaceDN w:val="0"/>
        <w:spacing w:line="240" w:lineRule="auto"/>
        <w:rPr>
          <w:rFonts w:ascii="Calibri" w:hAnsi="Calibri"/>
          <w:b/>
          <w:sz w:val="22"/>
          <w:szCs w:val="22"/>
        </w:rPr>
      </w:pPr>
      <w:r w:rsidRPr="00B211F8">
        <w:rPr>
          <w:rFonts w:ascii="Calibri" w:hAnsi="Calibri"/>
          <w:b/>
          <w:w w:val="110"/>
          <w:sz w:val="22"/>
          <w:szCs w:val="22"/>
        </w:rPr>
        <w:t>Wskaźniki</w:t>
      </w:r>
      <w:r w:rsidRPr="00B211F8">
        <w:rPr>
          <w:rFonts w:ascii="Calibri" w:hAnsi="Calibri"/>
          <w:b/>
          <w:spacing w:val="2"/>
          <w:w w:val="110"/>
          <w:sz w:val="22"/>
          <w:szCs w:val="22"/>
        </w:rPr>
        <w:t xml:space="preserve"> </w:t>
      </w:r>
      <w:r w:rsidRPr="00B211F8">
        <w:rPr>
          <w:rFonts w:ascii="Calibri" w:hAnsi="Calibri"/>
          <w:b/>
          <w:w w:val="110"/>
          <w:sz w:val="22"/>
          <w:szCs w:val="22"/>
        </w:rPr>
        <w:t>rezultatu</w:t>
      </w:r>
    </w:p>
    <w:p w14:paraId="11F65606" w14:textId="77777777" w:rsidR="006F2B23" w:rsidRPr="00B211F8" w:rsidRDefault="006F2B23" w:rsidP="006F2B23">
      <w:pPr>
        <w:pStyle w:val="Tekstpodstawowy"/>
        <w:spacing w:before="1"/>
        <w:rPr>
          <w:rFonts w:ascii="Calibri" w:hAnsi="Calibri"/>
          <w:b/>
          <w:sz w:val="22"/>
          <w:szCs w:val="22"/>
        </w:rPr>
      </w:pPr>
    </w:p>
    <w:p w14:paraId="324ED209" w14:textId="77777777" w:rsidR="006F2B23" w:rsidRPr="00B211F8" w:rsidRDefault="006F2B23" w:rsidP="006F2B23">
      <w:pPr>
        <w:ind w:left="110"/>
        <w:rPr>
          <w:rFonts w:ascii="Calibri" w:hAnsi="Calibri"/>
          <w:b/>
          <w:sz w:val="22"/>
          <w:szCs w:val="22"/>
        </w:rPr>
      </w:pPr>
      <w:r w:rsidRPr="00B211F8">
        <w:rPr>
          <w:rFonts w:ascii="Calibri" w:hAnsi="Calibri"/>
          <w:b/>
          <w:w w:val="110"/>
          <w:sz w:val="22"/>
          <w:szCs w:val="22"/>
        </w:rPr>
        <w:t>Wskaźniki kluczowe/specyﬁczne dla programu/specyﬁczne dla projektu</w:t>
      </w:r>
    </w:p>
    <w:p w14:paraId="14DC8368" w14:textId="77777777" w:rsidR="006F2B23" w:rsidRPr="00B211F8" w:rsidRDefault="006F2B23" w:rsidP="006F2B23">
      <w:pPr>
        <w:pStyle w:val="Tekstpodstawowy"/>
        <w:spacing w:after="1"/>
        <w:rPr>
          <w:rFonts w:ascii="Calibri" w:hAnsi="Calibri"/>
          <w:b/>
          <w:sz w:val="22"/>
          <w:szCs w:val="22"/>
          <w:lang w:val="pl-PL"/>
        </w:rPr>
      </w:pPr>
    </w:p>
    <w:tbl>
      <w:tblPr>
        <w:tblStyle w:val="TableNormal"/>
        <w:tblW w:w="966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02"/>
        <w:gridCol w:w="3136"/>
        <w:gridCol w:w="1089"/>
        <w:gridCol w:w="1313"/>
        <w:gridCol w:w="1137"/>
        <w:gridCol w:w="670"/>
        <w:gridCol w:w="683"/>
        <w:gridCol w:w="1436"/>
      </w:tblGrid>
      <w:tr w:rsidR="006F2B23" w:rsidRPr="00B211F8" w14:paraId="38984BEB" w14:textId="77777777" w:rsidTr="00412F4A">
        <w:trPr>
          <w:trHeight w:val="649"/>
        </w:trPr>
        <w:tc>
          <w:tcPr>
            <w:tcW w:w="0" w:type="auto"/>
          </w:tcPr>
          <w:p w14:paraId="6AA9E1FA" w14:textId="77777777" w:rsidR="006F2B23" w:rsidRPr="00B211F8" w:rsidRDefault="006F2B23" w:rsidP="00D82A32">
            <w:pPr>
              <w:pStyle w:val="TableParagraph"/>
              <w:spacing w:before="0"/>
              <w:ind w:left="0"/>
              <w:rPr>
                <w:rFonts w:ascii="Calibri" w:hAnsi="Calibri"/>
                <w:lang w:val="pl-PL"/>
              </w:rPr>
            </w:pPr>
          </w:p>
        </w:tc>
        <w:tc>
          <w:tcPr>
            <w:tcW w:w="0" w:type="auto"/>
          </w:tcPr>
          <w:p w14:paraId="0357DE2F" w14:textId="600BA271" w:rsidR="006F2B23" w:rsidRPr="00B211F8" w:rsidRDefault="006F2B23" w:rsidP="00412F4A">
            <w:pPr>
              <w:pStyle w:val="TableParagraph"/>
              <w:spacing w:before="1"/>
              <w:ind w:left="0" w:right="1487"/>
              <w:rPr>
                <w:rFonts w:ascii="Calibri" w:hAnsi="Calibri"/>
                <w:b/>
              </w:rPr>
            </w:pPr>
            <w:proofErr w:type="spellStart"/>
            <w:r w:rsidRPr="00B211F8">
              <w:rPr>
                <w:rFonts w:ascii="Calibri" w:hAnsi="Calibri"/>
                <w:b/>
                <w:w w:val="110"/>
              </w:rPr>
              <w:t>Nazwa</w:t>
            </w:r>
            <w:proofErr w:type="spellEnd"/>
            <w:r w:rsidR="00412F4A">
              <w:rPr>
                <w:rFonts w:ascii="Calibri" w:hAnsi="Calibri"/>
                <w:b/>
                <w:w w:val="110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b/>
                <w:w w:val="110"/>
              </w:rPr>
              <w:t>wskaźnika</w:t>
            </w:r>
            <w:proofErr w:type="spellEnd"/>
          </w:p>
        </w:tc>
        <w:tc>
          <w:tcPr>
            <w:tcW w:w="0" w:type="auto"/>
            <w:vAlign w:val="center"/>
          </w:tcPr>
          <w:p w14:paraId="7FF24C10" w14:textId="77777777" w:rsidR="006F2B23" w:rsidRPr="00B211F8" w:rsidRDefault="006F2B23" w:rsidP="00412F4A">
            <w:pPr>
              <w:pStyle w:val="TableParagraph"/>
              <w:spacing w:before="1"/>
              <w:ind w:left="286"/>
              <w:jc w:val="center"/>
              <w:rPr>
                <w:rFonts w:ascii="Calibri" w:hAnsi="Calibri"/>
                <w:b/>
              </w:rPr>
            </w:pPr>
            <w:proofErr w:type="spellStart"/>
            <w:r w:rsidRPr="00B211F8">
              <w:rPr>
                <w:rFonts w:ascii="Calibri" w:hAnsi="Calibri"/>
                <w:b/>
                <w:w w:val="105"/>
              </w:rPr>
              <w:t>Rodzaj</w:t>
            </w:r>
            <w:proofErr w:type="spellEnd"/>
          </w:p>
        </w:tc>
        <w:tc>
          <w:tcPr>
            <w:tcW w:w="0" w:type="auto"/>
            <w:vAlign w:val="center"/>
          </w:tcPr>
          <w:p w14:paraId="0D5D0CF5" w14:textId="77777777" w:rsidR="006F2B23" w:rsidRPr="00B211F8" w:rsidRDefault="006F2B23" w:rsidP="00412F4A">
            <w:pPr>
              <w:pStyle w:val="TableParagraph"/>
              <w:spacing w:before="133" w:line="259" w:lineRule="auto"/>
              <w:ind w:left="334" w:right="131" w:hanging="177"/>
              <w:jc w:val="center"/>
              <w:rPr>
                <w:rFonts w:ascii="Calibri" w:hAnsi="Calibri"/>
                <w:b/>
              </w:rPr>
            </w:pPr>
            <w:proofErr w:type="spellStart"/>
            <w:r w:rsidRPr="00B211F8">
              <w:rPr>
                <w:rFonts w:ascii="Calibri" w:hAnsi="Calibri"/>
                <w:b/>
                <w:w w:val="105"/>
              </w:rPr>
              <w:t>Jednostka</w:t>
            </w:r>
            <w:proofErr w:type="spellEnd"/>
            <w:r w:rsidRPr="00B211F8">
              <w:rPr>
                <w:rFonts w:ascii="Calibri" w:hAnsi="Calibri"/>
                <w:b/>
                <w:w w:val="105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b/>
                <w:w w:val="110"/>
              </w:rPr>
              <w:t>miary</w:t>
            </w:r>
            <w:proofErr w:type="spellEnd"/>
          </w:p>
        </w:tc>
        <w:tc>
          <w:tcPr>
            <w:tcW w:w="0" w:type="auto"/>
            <w:vAlign w:val="center"/>
          </w:tcPr>
          <w:p w14:paraId="45C6D251" w14:textId="117620F5" w:rsidR="006F2B23" w:rsidRPr="00B211F8" w:rsidRDefault="006F2B23" w:rsidP="00412F4A">
            <w:pPr>
              <w:pStyle w:val="TableParagraph"/>
              <w:spacing w:before="28" w:line="190" w:lineRule="atLeast"/>
              <w:ind w:left="158" w:right="151" w:hanging="1"/>
              <w:jc w:val="center"/>
              <w:rPr>
                <w:rFonts w:ascii="Calibri" w:hAnsi="Calibri"/>
                <w:b/>
              </w:rPr>
            </w:pPr>
            <w:proofErr w:type="spellStart"/>
            <w:r w:rsidRPr="00B211F8">
              <w:rPr>
                <w:rFonts w:ascii="Calibri" w:hAnsi="Calibri"/>
                <w:b/>
                <w:w w:val="110"/>
              </w:rPr>
              <w:t>Rok</w:t>
            </w:r>
            <w:proofErr w:type="spellEnd"/>
            <w:r w:rsidRPr="00B211F8">
              <w:rPr>
                <w:rFonts w:ascii="Calibri" w:hAnsi="Calibri"/>
                <w:b/>
                <w:w w:val="110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b/>
                <w:w w:val="105"/>
              </w:rPr>
              <w:t>bazowy</w:t>
            </w:r>
            <w:proofErr w:type="spellEnd"/>
            <w:r w:rsidRPr="00B211F8">
              <w:rPr>
                <w:rFonts w:ascii="Calibri" w:hAnsi="Calibri"/>
                <w:b/>
                <w:w w:val="105"/>
              </w:rPr>
              <w:t xml:space="preserve"> </w:t>
            </w:r>
            <w:r w:rsidRPr="00B211F8">
              <w:rPr>
                <w:rFonts w:ascii="Calibri" w:hAnsi="Calibri"/>
                <w:b/>
                <w:w w:val="110"/>
              </w:rPr>
              <w:t>201</w:t>
            </w:r>
            <w:r w:rsidR="00D82A32" w:rsidRPr="00B211F8">
              <w:rPr>
                <w:rFonts w:ascii="Calibri" w:hAnsi="Calibri"/>
                <w:b/>
                <w:w w:val="110"/>
              </w:rPr>
              <w:t>9</w:t>
            </w:r>
          </w:p>
        </w:tc>
        <w:tc>
          <w:tcPr>
            <w:tcW w:w="0" w:type="auto"/>
            <w:vAlign w:val="center"/>
          </w:tcPr>
          <w:p w14:paraId="6BA98D2C" w14:textId="1F97E68D" w:rsidR="006F2B23" w:rsidRPr="00B211F8" w:rsidRDefault="006F2B23" w:rsidP="00412F4A">
            <w:pPr>
              <w:pStyle w:val="TableParagraph"/>
              <w:spacing w:before="1"/>
              <w:ind w:left="147"/>
              <w:jc w:val="center"/>
              <w:rPr>
                <w:rFonts w:ascii="Calibri" w:hAnsi="Calibri"/>
                <w:b/>
              </w:rPr>
            </w:pPr>
            <w:r w:rsidRPr="00B211F8">
              <w:rPr>
                <w:rFonts w:ascii="Calibri" w:hAnsi="Calibri"/>
                <w:b/>
                <w:w w:val="115"/>
              </w:rPr>
              <w:t>201</w:t>
            </w:r>
            <w:r w:rsidR="00D82A32" w:rsidRPr="00B211F8">
              <w:rPr>
                <w:rFonts w:ascii="Calibri" w:hAnsi="Calibri"/>
                <w:b/>
                <w:w w:val="115"/>
              </w:rPr>
              <w:t>9</w:t>
            </w:r>
          </w:p>
        </w:tc>
        <w:tc>
          <w:tcPr>
            <w:tcW w:w="0" w:type="auto"/>
            <w:vAlign w:val="center"/>
          </w:tcPr>
          <w:p w14:paraId="3D9FA25D" w14:textId="0E9F7DF7" w:rsidR="006F2B23" w:rsidRPr="00B211F8" w:rsidRDefault="006F2B23" w:rsidP="00412F4A">
            <w:pPr>
              <w:pStyle w:val="TableParagraph"/>
              <w:spacing w:before="1"/>
              <w:ind w:left="147"/>
              <w:jc w:val="center"/>
              <w:rPr>
                <w:rFonts w:ascii="Calibri" w:hAnsi="Calibri"/>
                <w:b/>
              </w:rPr>
            </w:pPr>
            <w:r w:rsidRPr="00B211F8">
              <w:rPr>
                <w:rFonts w:ascii="Calibri" w:hAnsi="Calibri"/>
                <w:b/>
                <w:w w:val="115"/>
              </w:rPr>
              <w:t>20</w:t>
            </w:r>
            <w:r w:rsidR="00D82A32" w:rsidRPr="00B211F8">
              <w:rPr>
                <w:rFonts w:ascii="Calibri" w:hAnsi="Calibri"/>
                <w:b/>
                <w:w w:val="115"/>
              </w:rPr>
              <w:t>20</w:t>
            </w:r>
          </w:p>
        </w:tc>
        <w:tc>
          <w:tcPr>
            <w:tcW w:w="1436" w:type="dxa"/>
            <w:vAlign w:val="center"/>
          </w:tcPr>
          <w:p w14:paraId="07C8ACC2" w14:textId="5E3A3B9C" w:rsidR="006F2B23" w:rsidRPr="00B211F8" w:rsidRDefault="006F2B23" w:rsidP="00412F4A">
            <w:pPr>
              <w:pStyle w:val="TableParagraph"/>
              <w:spacing w:before="1"/>
              <w:ind w:left="203"/>
              <w:jc w:val="center"/>
              <w:rPr>
                <w:rFonts w:ascii="Calibri" w:hAnsi="Calibri"/>
                <w:b/>
              </w:rPr>
            </w:pPr>
            <w:r w:rsidRPr="00B211F8">
              <w:rPr>
                <w:rFonts w:ascii="Calibri" w:hAnsi="Calibri"/>
                <w:b/>
                <w:w w:val="115"/>
              </w:rPr>
              <w:t>202</w:t>
            </w:r>
            <w:r w:rsidR="00D82A32" w:rsidRPr="00B211F8">
              <w:rPr>
                <w:rFonts w:ascii="Calibri" w:hAnsi="Calibri"/>
                <w:b/>
                <w:w w:val="115"/>
              </w:rPr>
              <w:t>1</w:t>
            </w:r>
          </w:p>
        </w:tc>
      </w:tr>
      <w:tr w:rsidR="006F2B23" w:rsidRPr="00B211F8" w14:paraId="2FFC30B7" w14:textId="77777777" w:rsidTr="00412F4A">
        <w:trPr>
          <w:trHeight w:val="451"/>
        </w:trPr>
        <w:tc>
          <w:tcPr>
            <w:tcW w:w="0" w:type="auto"/>
          </w:tcPr>
          <w:p w14:paraId="45A54E1D" w14:textId="77777777" w:rsidR="006F2B23" w:rsidRPr="00B211F8" w:rsidRDefault="006F2B23" w:rsidP="00D82A32">
            <w:pPr>
              <w:pStyle w:val="TableParagraph"/>
              <w:spacing w:before="112"/>
              <w:ind w:left="10" w:right="5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1.</w:t>
            </w:r>
          </w:p>
        </w:tc>
        <w:tc>
          <w:tcPr>
            <w:tcW w:w="0" w:type="auto"/>
          </w:tcPr>
          <w:p w14:paraId="71B27CE8" w14:textId="77777777" w:rsidR="006F2B23" w:rsidRPr="00B211F8" w:rsidRDefault="006F2B23" w:rsidP="00D82A32">
            <w:pPr>
              <w:pStyle w:val="TableParagraph"/>
              <w:spacing w:before="34" w:line="259" w:lineRule="auto"/>
              <w:ind w:right="137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>Liczba</w:t>
            </w:r>
            <w:r w:rsidRPr="00B211F8">
              <w:rPr>
                <w:rFonts w:ascii="Calibri" w:hAnsi="Calibri"/>
                <w:b/>
                <w:spacing w:val="-18"/>
                <w:w w:val="110"/>
                <w:lang w:val="pl-PL"/>
              </w:rPr>
              <w:t xml:space="preserve"> </w:t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>osób</w:t>
            </w:r>
            <w:r w:rsidRPr="00B211F8">
              <w:rPr>
                <w:rFonts w:ascii="Calibri" w:hAnsi="Calibri"/>
                <w:b/>
                <w:spacing w:val="-17"/>
                <w:w w:val="110"/>
                <w:lang w:val="pl-PL"/>
              </w:rPr>
              <w:t xml:space="preserve"> </w:t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>korzystających</w:t>
            </w:r>
            <w:r w:rsidRPr="00B211F8">
              <w:rPr>
                <w:rFonts w:ascii="Calibri" w:hAnsi="Calibri"/>
                <w:b/>
                <w:spacing w:val="-18"/>
                <w:w w:val="110"/>
                <w:lang w:val="pl-PL"/>
              </w:rPr>
              <w:t xml:space="preserve"> </w:t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>z</w:t>
            </w:r>
            <w:r w:rsidRPr="00B211F8">
              <w:rPr>
                <w:rFonts w:ascii="Calibri" w:hAnsi="Calibri"/>
                <w:b/>
                <w:spacing w:val="-17"/>
                <w:w w:val="110"/>
                <w:lang w:val="pl-PL"/>
              </w:rPr>
              <w:t xml:space="preserve"> </w:t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>usług</w:t>
            </w:r>
            <w:r w:rsidRPr="00B211F8">
              <w:rPr>
                <w:rFonts w:ascii="Calibri" w:hAnsi="Calibri"/>
                <w:b/>
                <w:spacing w:val="-17"/>
                <w:w w:val="110"/>
                <w:lang w:val="pl-PL"/>
              </w:rPr>
              <w:t xml:space="preserve"> </w:t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>publicznych</w:t>
            </w:r>
            <w:r w:rsidRPr="00B211F8">
              <w:rPr>
                <w:rFonts w:ascii="Calibri" w:hAnsi="Calibri"/>
                <w:b/>
                <w:spacing w:val="-18"/>
                <w:w w:val="110"/>
                <w:lang w:val="pl-PL"/>
              </w:rPr>
              <w:t xml:space="preserve"> </w:t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 xml:space="preserve">on- </w:t>
            </w:r>
            <w:proofErr w:type="spellStart"/>
            <w:r w:rsidRPr="00B211F8">
              <w:rPr>
                <w:rFonts w:ascii="Calibri" w:hAnsi="Calibri"/>
                <w:b/>
                <w:w w:val="110"/>
                <w:lang w:val="pl-PL"/>
              </w:rPr>
              <w:t>line</w:t>
            </w:r>
            <w:proofErr w:type="spellEnd"/>
          </w:p>
        </w:tc>
        <w:tc>
          <w:tcPr>
            <w:tcW w:w="0" w:type="auto"/>
            <w:vAlign w:val="center"/>
          </w:tcPr>
          <w:p w14:paraId="676ED055" w14:textId="77777777" w:rsidR="006F2B23" w:rsidRPr="00B211F8" w:rsidRDefault="006F2B23" w:rsidP="00412F4A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dodatkowy</w:t>
            </w:r>
            <w:proofErr w:type="spellEnd"/>
          </w:p>
        </w:tc>
        <w:tc>
          <w:tcPr>
            <w:tcW w:w="0" w:type="auto"/>
            <w:vAlign w:val="center"/>
          </w:tcPr>
          <w:p w14:paraId="213B370E" w14:textId="77777777" w:rsidR="006F2B23" w:rsidRPr="00B211F8" w:rsidRDefault="006F2B23" w:rsidP="00412F4A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osoby</w:t>
            </w:r>
            <w:proofErr w:type="spellEnd"/>
          </w:p>
        </w:tc>
        <w:tc>
          <w:tcPr>
            <w:tcW w:w="0" w:type="auto"/>
            <w:vAlign w:val="center"/>
          </w:tcPr>
          <w:p w14:paraId="77BBD652" w14:textId="77777777" w:rsidR="006F2B23" w:rsidRPr="00B211F8" w:rsidRDefault="006F2B23" w:rsidP="00412F4A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0" w:type="auto"/>
            <w:vAlign w:val="center"/>
          </w:tcPr>
          <w:p w14:paraId="7C19F781" w14:textId="77777777" w:rsidR="006F2B23" w:rsidRPr="00B211F8" w:rsidRDefault="006F2B23" w:rsidP="00412F4A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0" w:type="auto"/>
            <w:vAlign w:val="center"/>
          </w:tcPr>
          <w:p w14:paraId="0B39097A" w14:textId="58158246" w:rsidR="006F2B23" w:rsidRPr="00B211F8" w:rsidRDefault="00D82A32" w:rsidP="00412F4A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40</w:t>
            </w:r>
            <w:r w:rsidR="006F2B23"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1436" w:type="dxa"/>
            <w:vAlign w:val="center"/>
          </w:tcPr>
          <w:p w14:paraId="262D394E" w14:textId="2C8DC0F9" w:rsidR="006F2B23" w:rsidRPr="00B211F8" w:rsidRDefault="00D82A32" w:rsidP="00412F4A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826</w:t>
            </w:r>
            <w:r w:rsidR="006F2B23" w:rsidRPr="00B211F8">
              <w:rPr>
                <w:rFonts w:ascii="Calibri" w:hAnsi="Calibri"/>
                <w:w w:val="105"/>
              </w:rPr>
              <w:t>.00</w:t>
            </w:r>
          </w:p>
        </w:tc>
      </w:tr>
      <w:tr w:rsidR="006F2B23" w:rsidRPr="00B211F8" w14:paraId="3285E5E8" w14:textId="77777777" w:rsidTr="00412F4A">
        <w:trPr>
          <w:trHeight w:val="1441"/>
        </w:trPr>
        <w:tc>
          <w:tcPr>
            <w:tcW w:w="0" w:type="auto"/>
          </w:tcPr>
          <w:p w14:paraId="78E5ABFA" w14:textId="77777777" w:rsidR="006F2B23" w:rsidRPr="00B211F8" w:rsidRDefault="006F2B23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7F8C9F37" w14:textId="77777777" w:rsidR="006F2B23" w:rsidRPr="00B211F8" w:rsidRDefault="006F2B23" w:rsidP="00D82A32">
            <w:pPr>
              <w:pStyle w:val="TableParagraph"/>
              <w:spacing w:before="107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>Opis wskaźnika oraz metodologia jego pomiaru (w tym źródło danych i sposób pomiaru wskaźnika)</w:t>
            </w:r>
          </w:p>
        </w:tc>
        <w:tc>
          <w:tcPr>
            <w:tcW w:w="6327" w:type="dxa"/>
            <w:gridSpan w:val="6"/>
          </w:tcPr>
          <w:p w14:paraId="1B1CAA45" w14:textId="665EED34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97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Szacuje się, że 30% interesariuszy włączonych do systemu telemetrii i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bazy danych użytkowników sieci wodociągowej gminy przynajmniej raz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 ciągu roku od zakończenia rzeczowej realizacji Projektu skorzysta z e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-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usług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związanych z gospodarką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wodociągową Gminy Dywity. Sposób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pomiaru osiągnięcia wskaźnika: liczba unikatowych interakcji z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systemem e-usług (zalogowanie się i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wykonanie czynności online np.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sprawdzenie stanu liczników, każdy użytkownik liczony jest tylko raz)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widoczna w wykazie aktywności użytkowników od administratora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systemu.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 pomiar wskaźnika odpowiedzialny będzie Wnioskodawca.</w:t>
            </w:r>
          </w:p>
          <w:p w14:paraId="50C50CB9" w14:textId="651E4D37" w:rsidR="006F2B23" w:rsidRPr="00412F4A" w:rsidRDefault="00D82A32" w:rsidP="00412F4A">
            <w:pPr>
              <w:suppressAutoHyphens w:val="0"/>
              <w:adjustRightInd w:val="0"/>
              <w:spacing w:line="240" w:lineRule="auto"/>
              <w:ind w:left="97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Wskaźnik nie zostanie osiągnięty w momencie zakończenia finansowego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realizacji 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projektu,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ponieważ Wnioskodawca 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zakłada,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że kolejni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użytkownicy zaczną stopniowo korzystać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  <w:t>z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elektronicznego biur obsługi i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e-usług po ich uruchomieniu. Każda nowość wymaga czasu dla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wdrożenia i potrzebny jest dłuższy okres 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czasu,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aby zagwarantować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osiągnięcie wskaźnika na odpowiednim poziomie.</w:t>
            </w:r>
          </w:p>
        </w:tc>
      </w:tr>
      <w:tr w:rsidR="006F2B23" w:rsidRPr="00B211F8" w14:paraId="09D892E8" w14:textId="77777777" w:rsidTr="00412F4A">
        <w:trPr>
          <w:trHeight w:val="451"/>
        </w:trPr>
        <w:tc>
          <w:tcPr>
            <w:tcW w:w="0" w:type="auto"/>
          </w:tcPr>
          <w:p w14:paraId="55D1C0CF" w14:textId="77777777" w:rsidR="006F2B23" w:rsidRPr="00B211F8" w:rsidRDefault="006F2B23" w:rsidP="00D82A32">
            <w:pPr>
              <w:pStyle w:val="TableParagraph"/>
              <w:spacing w:before="112"/>
              <w:ind w:left="10" w:right="5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2.</w:t>
            </w:r>
          </w:p>
        </w:tc>
        <w:tc>
          <w:tcPr>
            <w:tcW w:w="0" w:type="auto"/>
          </w:tcPr>
          <w:p w14:paraId="6ADEA2A2" w14:textId="607932A6" w:rsidR="006F2B23" w:rsidRPr="00B211F8" w:rsidRDefault="006F2B23" w:rsidP="00D82A32">
            <w:pPr>
              <w:pStyle w:val="TableParagraph"/>
              <w:spacing w:before="34" w:line="259" w:lineRule="auto"/>
              <w:ind w:right="137"/>
              <w:rPr>
                <w:rFonts w:ascii="Calibri" w:hAnsi="Calibri"/>
                <w:b/>
                <w:lang w:val="pl-PL"/>
              </w:rPr>
            </w:pPr>
            <w:r w:rsidRPr="00B211F8">
              <w:rPr>
                <w:rFonts w:ascii="Calibri" w:hAnsi="Calibri"/>
                <w:b/>
                <w:w w:val="110"/>
                <w:lang w:val="pl-PL"/>
              </w:rPr>
              <w:t>Liczba pobrań</w:t>
            </w:r>
            <w:r w:rsidR="00412F4A">
              <w:rPr>
                <w:rFonts w:ascii="Calibri" w:hAnsi="Calibri"/>
                <w:b/>
                <w:w w:val="110"/>
                <w:lang w:val="pl-PL"/>
              </w:rPr>
              <w:t xml:space="preserve"> </w:t>
            </w:r>
            <w:r w:rsidRPr="00B211F8">
              <w:rPr>
                <w:rFonts w:ascii="Calibri" w:hAnsi="Calibri"/>
                <w:b/>
                <w:w w:val="110"/>
                <w:lang w:val="pl-PL"/>
              </w:rPr>
              <w:t>/</w:t>
            </w:r>
            <w:r w:rsidR="00412F4A">
              <w:rPr>
                <w:rFonts w:ascii="Calibri" w:hAnsi="Calibri"/>
                <w:b/>
                <w:w w:val="110"/>
                <w:lang w:val="pl-PL"/>
              </w:rPr>
              <w:t xml:space="preserve"> </w:t>
            </w:r>
            <w:proofErr w:type="spellStart"/>
            <w:r w:rsidRPr="00B211F8">
              <w:rPr>
                <w:rFonts w:ascii="Calibri" w:hAnsi="Calibri"/>
                <w:b/>
                <w:w w:val="110"/>
                <w:lang w:val="pl-PL"/>
              </w:rPr>
              <w:t>odtworzeń</w:t>
            </w:r>
            <w:proofErr w:type="spellEnd"/>
            <w:r w:rsidRPr="00B211F8">
              <w:rPr>
                <w:rFonts w:ascii="Calibri" w:hAnsi="Calibri"/>
                <w:b/>
                <w:w w:val="110"/>
                <w:lang w:val="pl-PL"/>
              </w:rPr>
              <w:t xml:space="preserve"> dokumentów zawierających informacje sektora publicznego</w:t>
            </w:r>
          </w:p>
        </w:tc>
        <w:tc>
          <w:tcPr>
            <w:tcW w:w="0" w:type="auto"/>
            <w:vAlign w:val="center"/>
          </w:tcPr>
          <w:p w14:paraId="7A120E18" w14:textId="77777777" w:rsidR="006F2B23" w:rsidRPr="00B211F8" w:rsidRDefault="006F2B23" w:rsidP="00412F4A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kluczowy</w:t>
            </w:r>
            <w:proofErr w:type="spellEnd"/>
          </w:p>
        </w:tc>
        <w:tc>
          <w:tcPr>
            <w:tcW w:w="0" w:type="auto"/>
            <w:vAlign w:val="center"/>
          </w:tcPr>
          <w:p w14:paraId="21B3A87B" w14:textId="77777777" w:rsidR="006F2B23" w:rsidRPr="00B211F8" w:rsidRDefault="006F2B23" w:rsidP="00412F4A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proofErr w:type="spellStart"/>
            <w:r w:rsidRPr="00B211F8">
              <w:rPr>
                <w:rFonts w:ascii="Calibri" w:hAnsi="Calibri"/>
                <w:w w:val="105"/>
              </w:rPr>
              <w:t>szt</w:t>
            </w:r>
            <w:proofErr w:type="spellEnd"/>
            <w:r w:rsidRPr="00B211F8">
              <w:rPr>
                <w:rFonts w:ascii="Calibri" w:hAnsi="Calibri"/>
                <w:w w:val="105"/>
              </w:rPr>
              <w:t>.</w:t>
            </w:r>
          </w:p>
        </w:tc>
        <w:tc>
          <w:tcPr>
            <w:tcW w:w="0" w:type="auto"/>
            <w:vAlign w:val="center"/>
          </w:tcPr>
          <w:p w14:paraId="0453309B" w14:textId="77777777" w:rsidR="006F2B23" w:rsidRPr="00B211F8" w:rsidRDefault="006F2B23" w:rsidP="00412F4A">
            <w:pPr>
              <w:pStyle w:val="TableParagraph"/>
              <w:spacing w:before="112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0" w:type="auto"/>
            <w:vAlign w:val="center"/>
          </w:tcPr>
          <w:p w14:paraId="067C6D73" w14:textId="77777777" w:rsidR="006F2B23" w:rsidRPr="00B211F8" w:rsidRDefault="006F2B23" w:rsidP="00412F4A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0.00</w:t>
            </w:r>
          </w:p>
        </w:tc>
        <w:tc>
          <w:tcPr>
            <w:tcW w:w="0" w:type="auto"/>
            <w:vAlign w:val="center"/>
          </w:tcPr>
          <w:p w14:paraId="6E7F7EA9" w14:textId="095AC40E" w:rsidR="006F2B23" w:rsidRPr="00B211F8" w:rsidRDefault="00D82A32" w:rsidP="00412F4A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200</w:t>
            </w:r>
            <w:r w:rsidR="006F2B23" w:rsidRPr="00B211F8">
              <w:rPr>
                <w:rFonts w:ascii="Calibri" w:hAnsi="Calibri"/>
                <w:w w:val="105"/>
              </w:rPr>
              <w:t>.00</w:t>
            </w:r>
          </w:p>
        </w:tc>
        <w:tc>
          <w:tcPr>
            <w:tcW w:w="1436" w:type="dxa"/>
            <w:vAlign w:val="center"/>
          </w:tcPr>
          <w:p w14:paraId="2C2B07D7" w14:textId="2CD921C6" w:rsidR="006F2B23" w:rsidRPr="00B211F8" w:rsidRDefault="00D82A32" w:rsidP="00412F4A">
            <w:pPr>
              <w:pStyle w:val="TableParagraph"/>
              <w:spacing w:before="112"/>
              <w:ind w:left="29"/>
              <w:jc w:val="center"/>
              <w:rPr>
                <w:rFonts w:ascii="Calibri" w:hAnsi="Calibri"/>
              </w:rPr>
            </w:pPr>
            <w:r w:rsidRPr="00B211F8">
              <w:rPr>
                <w:rFonts w:ascii="Calibri" w:hAnsi="Calibri"/>
                <w:w w:val="105"/>
              </w:rPr>
              <w:t>40</w:t>
            </w:r>
            <w:r w:rsidR="006F2B23" w:rsidRPr="00B211F8">
              <w:rPr>
                <w:rFonts w:ascii="Calibri" w:hAnsi="Calibri"/>
                <w:w w:val="105"/>
              </w:rPr>
              <w:t>0.00</w:t>
            </w:r>
          </w:p>
        </w:tc>
      </w:tr>
      <w:tr w:rsidR="006F2B23" w:rsidRPr="00B211F8" w14:paraId="165C672F" w14:textId="77777777" w:rsidTr="00412F4A">
        <w:trPr>
          <w:trHeight w:val="1441"/>
        </w:trPr>
        <w:tc>
          <w:tcPr>
            <w:tcW w:w="0" w:type="auto"/>
          </w:tcPr>
          <w:p w14:paraId="548892EA" w14:textId="77777777" w:rsidR="006F2B23" w:rsidRPr="00B211F8" w:rsidRDefault="006F2B23" w:rsidP="00D82A32">
            <w:pPr>
              <w:pStyle w:val="TableParagraph"/>
              <w:spacing w:before="0"/>
              <w:ind w:left="0"/>
              <w:rPr>
                <w:rFonts w:ascii="Calibri" w:hAnsi="Calibri"/>
              </w:rPr>
            </w:pPr>
          </w:p>
        </w:tc>
        <w:tc>
          <w:tcPr>
            <w:tcW w:w="0" w:type="auto"/>
          </w:tcPr>
          <w:p w14:paraId="206112D3" w14:textId="77777777" w:rsidR="006F2B23" w:rsidRPr="00B211F8" w:rsidRDefault="006F2B23" w:rsidP="00D82A32">
            <w:pPr>
              <w:pStyle w:val="TableParagraph"/>
              <w:spacing w:before="107" w:line="220" w:lineRule="auto"/>
              <w:ind w:right="378"/>
              <w:rPr>
                <w:rFonts w:ascii="Calibri" w:hAnsi="Calibri"/>
                <w:lang w:val="pl-PL"/>
              </w:rPr>
            </w:pPr>
            <w:r w:rsidRPr="00B211F8">
              <w:rPr>
                <w:rFonts w:ascii="Calibri" w:hAnsi="Calibri"/>
                <w:w w:val="105"/>
                <w:lang w:val="pl-PL"/>
              </w:rPr>
              <w:t>Opis wskaźnika oraz metodologia jego pomiaru (w tym źródło danych i sposób pomiaru wskaźnika)</w:t>
            </w:r>
          </w:p>
        </w:tc>
        <w:tc>
          <w:tcPr>
            <w:tcW w:w="6327" w:type="dxa"/>
            <w:gridSpan w:val="6"/>
          </w:tcPr>
          <w:p w14:paraId="57A196F3" w14:textId="77777777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97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B211F8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Liczba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pobrań lub odtworzonych dokumentów informacji sektora</w:t>
            </w:r>
          </w:p>
          <w:p w14:paraId="52FBC46B" w14:textId="4D839030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97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publicznego z wykorzystaniem e-usług świadczonych przez Gminę dla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interesariuszy Projektu, w ciągu roku od zakończenia rzeczowej</w:t>
            </w:r>
          </w:p>
          <w:p w14:paraId="1FAB2240" w14:textId="77777777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97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realizacji Projektu. Sposób pomiaru osiągnięcia wskaźnika: liczba</w:t>
            </w:r>
          </w:p>
          <w:p w14:paraId="034DC1E0" w14:textId="77777777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97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pobrań/</w:t>
            </w:r>
            <w:proofErr w:type="spellStart"/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odtworzeń</w:t>
            </w:r>
            <w:proofErr w:type="spellEnd"/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widoczna w raportach administratora systemu.</w:t>
            </w:r>
          </w:p>
          <w:p w14:paraId="0FA6B91E" w14:textId="48A92A33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97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Metodologia wyliczenia wysokości wskaźnika: Wnioskodawca 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zakłada,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że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każdy z dokumentów będzie ściągany przy aktualizacji co najmniej 50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razy na kwartał co w ciągu roku od zakończenia projektu pozwoli</w:t>
            </w:r>
          </w:p>
          <w:p w14:paraId="3DD82008" w14:textId="61B0B3D5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97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uzyskać liczbę 200 pobrań/</w:t>
            </w:r>
            <w:proofErr w:type="spellStart"/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odtworzeń</w:t>
            </w:r>
            <w:proofErr w:type="spellEnd"/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każdego z nich. W sumie pozwoli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to uzyskać liczbę 400 pobrań/</w:t>
            </w:r>
            <w:proofErr w:type="spellStart"/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odtworzeń</w:t>
            </w:r>
            <w:proofErr w:type="spellEnd"/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.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 pomiar wskaźnika odpowiedzialny będzie Wnioskodawca.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Wskaźnik </w:t>
            </w:r>
            <w:r w:rsid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br/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nie zostanie osiągnięty w momencie zakończenia finansowego</w:t>
            </w:r>
          </w:p>
          <w:p w14:paraId="2751B909" w14:textId="6A8E0B93" w:rsidR="00D82A32" w:rsidRPr="00412F4A" w:rsidRDefault="00D82A32" w:rsidP="00412F4A">
            <w:pPr>
              <w:suppressAutoHyphens w:val="0"/>
              <w:adjustRightInd w:val="0"/>
              <w:spacing w:line="240" w:lineRule="auto"/>
              <w:ind w:left="97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realizacji 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projektu,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ponieważ Wnioskodawca 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zakłada,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że kolejni</w:t>
            </w:r>
          </w:p>
          <w:p w14:paraId="471BF395" w14:textId="627FF396" w:rsidR="006F2B23" w:rsidRPr="00412F4A" w:rsidRDefault="00D82A32" w:rsidP="00412F4A">
            <w:pPr>
              <w:suppressAutoHyphens w:val="0"/>
              <w:adjustRightInd w:val="0"/>
              <w:spacing w:line="240" w:lineRule="auto"/>
              <w:ind w:left="97" w:right="136"/>
              <w:jc w:val="both"/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</w:pP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użytkownicy zaczną stopniowo korzystać z elektronicznego biur obsługi i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pobierać dane od Wnioskodawcy w zakresie gospodarki wodociągowej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po ich udostępnieniu. Każda nowość wymaga czasu dla wdrożenia i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potrzebny jest dłuższy okres 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czasu,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aby zagwarantować osiągnięcie</w:t>
            </w:r>
            <w:r w:rsidR="00412F4A"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 xml:space="preserve"> </w:t>
            </w:r>
            <w:r w:rsidRPr="00412F4A">
              <w:rPr>
                <w:rFonts w:ascii="Calibri" w:eastAsiaTheme="minorEastAsia" w:hAnsi="Calibri" w:cs="DejaVuSansCondensed"/>
                <w:sz w:val="22"/>
                <w:szCs w:val="22"/>
                <w:lang w:val="pl-PL"/>
              </w:rPr>
              <w:t>wskaźnika na odpowiednim poziomie.</w:t>
            </w:r>
          </w:p>
        </w:tc>
      </w:tr>
    </w:tbl>
    <w:p w14:paraId="2D55A6B5" w14:textId="77777777" w:rsidR="009F11BC" w:rsidRPr="00B211F8" w:rsidRDefault="009F11BC" w:rsidP="009F11BC">
      <w:pPr>
        <w:pStyle w:val="Akapitzlist"/>
        <w:spacing w:after="160" w:line="259" w:lineRule="auto"/>
        <w:ind w:left="720"/>
        <w:jc w:val="both"/>
        <w:rPr>
          <w:rFonts w:ascii="Calibri" w:hAnsi="Calibri" w:cstheme="majorHAnsi"/>
          <w:sz w:val="22"/>
          <w:szCs w:val="22"/>
        </w:rPr>
      </w:pPr>
    </w:p>
    <w:p w14:paraId="3BFC53BF" w14:textId="414D101C" w:rsidR="0043408C" w:rsidRPr="00B211F8" w:rsidRDefault="0043408C" w:rsidP="00412F4A">
      <w:pPr>
        <w:spacing w:after="160" w:line="259" w:lineRule="auto"/>
        <w:ind w:right="-6"/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 xml:space="preserve">Wykonawca jest odpowiedzialny w zakresie wskaźników rezultatu do udostępnienia merytorycznych narzędzi do ich osiągniecia (np. systemy, rejestry </w:t>
      </w:r>
      <w:r w:rsidR="00412F4A" w:rsidRPr="00B211F8">
        <w:rPr>
          <w:rFonts w:ascii="Calibri" w:hAnsi="Calibri" w:cstheme="majorHAnsi"/>
          <w:sz w:val="22"/>
          <w:szCs w:val="22"/>
        </w:rPr>
        <w:t>użytkowników</w:t>
      </w:r>
      <w:r w:rsidR="008503C6">
        <w:rPr>
          <w:rFonts w:ascii="Calibri" w:hAnsi="Calibri" w:cstheme="majorHAnsi"/>
          <w:sz w:val="22"/>
          <w:szCs w:val="22"/>
        </w:rPr>
        <w:t>, raporty, zestawienia</w:t>
      </w:r>
      <w:r w:rsidR="00412F4A" w:rsidRPr="00B211F8">
        <w:rPr>
          <w:rFonts w:ascii="Calibri" w:hAnsi="Calibri" w:cstheme="majorHAnsi"/>
          <w:sz w:val="22"/>
          <w:szCs w:val="22"/>
        </w:rPr>
        <w:t>)</w:t>
      </w:r>
      <w:r w:rsidRPr="00B211F8">
        <w:rPr>
          <w:rFonts w:ascii="Calibri" w:hAnsi="Calibri" w:cstheme="majorHAnsi"/>
          <w:sz w:val="22"/>
          <w:szCs w:val="22"/>
        </w:rPr>
        <w:t>, na podstawie których Zamawiający będzie mógł w łatwy i przejrzysty sposób odczytywać dane w t</w:t>
      </w:r>
      <w:r w:rsidR="00412F4A">
        <w:rPr>
          <w:rFonts w:ascii="Calibri" w:hAnsi="Calibri" w:cstheme="majorHAnsi"/>
          <w:sz w:val="22"/>
          <w:szCs w:val="22"/>
        </w:rPr>
        <w:t>y</w:t>
      </w:r>
      <w:r w:rsidRPr="00B211F8">
        <w:rPr>
          <w:rFonts w:ascii="Calibri" w:hAnsi="Calibri" w:cstheme="majorHAnsi"/>
          <w:sz w:val="22"/>
          <w:szCs w:val="22"/>
        </w:rPr>
        <w:t xml:space="preserve">m zakresie. </w:t>
      </w:r>
    </w:p>
    <w:p w14:paraId="291B55CC" w14:textId="567E8AAE" w:rsidR="004A4E1E" w:rsidRPr="00412F4A" w:rsidRDefault="004A4E1E" w:rsidP="004A4E1E">
      <w:pPr>
        <w:pStyle w:val="Nagwek2"/>
        <w:ind w:left="-5"/>
        <w:rPr>
          <w:rFonts w:ascii="Calibri" w:hAnsi="Calibri" w:cstheme="majorHAnsi"/>
          <w:b/>
          <w:bCs/>
          <w:szCs w:val="22"/>
        </w:rPr>
      </w:pPr>
      <w:r w:rsidRPr="00412F4A">
        <w:rPr>
          <w:rFonts w:ascii="Calibri" w:hAnsi="Calibri" w:cstheme="majorHAnsi"/>
          <w:b/>
          <w:bCs/>
          <w:szCs w:val="22"/>
        </w:rPr>
        <w:t xml:space="preserve">Gwarancja </w:t>
      </w:r>
      <w:r w:rsidR="00BB49CB">
        <w:rPr>
          <w:rFonts w:ascii="Calibri" w:hAnsi="Calibri" w:cstheme="majorHAnsi"/>
          <w:b/>
          <w:bCs/>
          <w:szCs w:val="22"/>
        </w:rPr>
        <w:t>– zasady ogólne na dostarczony przedmiot zamówienia</w:t>
      </w:r>
    </w:p>
    <w:p w14:paraId="345FFE91" w14:textId="1AD4C56A" w:rsidR="00F754E7" w:rsidRDefault="00F754E7" w:rsidP="00E75187">
      <w:pPr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>Gwarancja na dostarczon</w:t>
      </w:r>
      <w:r w:rsidR="00574B77">
        <w:rPr>
          <w:rFonts w:ascii="Calibri" w:hAnsi="Calibri" w:cstheme="majorHAnsi"/>
          <w:sz w:val="22"/>
          <w:szCs w:val="22"/>
        </w:rPr>
        <w:t>e</w:t>
      </w:r>
      <w:r>
        <w:rPr>
          <w:rFonts w:ascii="Calibri" w:hAnsi="Calibri" w:cstheme="majorHAnsi"/>
          <w:sz w:val="22"/>
          <w:szCs w:val="22"/>
        </w:rPr>
        <w:t xml:space="preserve">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>
        <w:rPr>
          <w:rFonts w:ascii="Calibri" w:hAnsi="Calibri" w:cstheme="majorHAnsi"/>
          <w:sz w:val="22"/>
          <w:szCs w:val="22"/>
        </w:rPr>
        <w:t xml:space="preserve"> w ramach przedmiotu zamówienia wynosi minimum 36 miesięcy, maksymaln</w:t>
      </w:r>
      <w:r w:rsidR="00C30B16">
        <w:rPr>
          <w:rFonts w:ascii="Calibri" w:hAnsi="Calibri" w:cstheme="majorHAnsi"/>
          <w:sz w:val="22"/>
          <w:szCs w:val="22"/>
        </w:rPr>
        <w:t>ie</w:t>
      </w:r>
      <w:r>
        <w:rPr>
          <w:rFonts w:ascii="Calibri" w:hAnsi="Calibri" w:cstheme="majorHAnsi"/>
          <w:sz w:val="22"/>
          <w:szCs w:val="22"/>
        </w:rPr>
        <w:t xml:space="preserve"> 60 miesięcy – zgodnie ze złożoną ofertą Wykonawcy.</w:t>
      </w:r>
    </w:p>
    <w:p w14:paraId="0135C749" w14:textId="23886E51" w:rsidR="00F754E7" w:rsidRDefault="00F754E7" w:rsidP="00E75187">
      <w:pPr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>Dostarczon</w:t>
      </w:r>
      <w:r w:rsidR="00574B77">
        <w:rPr>
          <w:rFonts w:ascii="Calibri" w:hAnsi="Calibri" w:cstheme="majorHAnsi"/>
          <w:sz w:val="22"/>
          <w:szCs w:val="22"/>
        </w:rPr>
        <w:t>e</w:t>
      </w:r>
      <w:r>
        <w:rPr>
          <w:rFonts w:ascii="Calibri" w:hAnsi="Calibri" w:cstheme="majorHAnsi"/>
          <w:sz w:val="22"/>
          <w:szCs w:val="22"/>
        </w:rPr>
        <w:t xml:space="preserve">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>
        <w:rPr>
          <w:rFonts w:ascii="Calibri" w:hAnsi="Calibri" w:cstheme="majorHAnsi"/>
          <w:sz w:val="22"/>
          <w:szCs w:val="22"/>
        </w:rPr>
        <w:t xml:space="preserve"> mus</w:t>
      </w:r>
      <w:r w:rsidR="00574B77">
        <w:rPr>
          <w:rFonts w:ascii="Calibri" w:hAnsi="Calibri" w:cstheme="majorHAnsi"/>
          <w:sz w:val="22"/>
          <w:szCs w:val="22"/>
        </w:rPr>
        <w:t>zą</w:t>
      </w:r>
      <w:r>
        <w:rPr>
          <w:rFonts w:ascii="Calibri" w:hAnsi="Calibri" w:cstheme="majorHAnsi"/>
          <w:sz w:val="22"/>
          <w:szCs w:val="22"/>
        </w:rPr>
        <w:t xml:space="preserve"> być fabrycznie now</w:t>
      </w:r>
      <w:r w:rsidR="00574B77">
        <w:rPr>
          <w:rFonts w:ascii="Calibri" w:hAnsi="Calibri" w:cstheme="majorHAnsi"/>
          <w:sz w:val="22"/>
          <w:szCs w:val="22"/>
        </w:rPr>
        <w:t>e</w:t>
      </w:r>
      <w:r>
        <w:rPr>
          <w:rFonts w:ascii="Calibri" w:hAnsi="Calibri" w:cstheme="majorHAnsi"/>
          <w:sz w:val="22"/>
          <w:szCs w:val="22"/>
        </w:rPr>
        <w:t xml:space="preserve"> i nieużywan</w:t>
      </w:r>
      <w:r w:rsidR="00574B77">
        <w:rPr>
          <w:rFonts w:ascii="Calibri" w:hAnsi="Calibri" w:cstheme="majorHAnsi"/>
          <w:sz w:val="22"/>
          <w:szCs w:val="22"/>
        </w:rPr>
        <w:t>e</w:t>
      </w:r>
      <w:r>
        <w:rPr>
          <w:rFonts w:ascii="Calibri" w:hAnsi="Calibri" w:cstheme="majorHAnsi"/>
          <w:sz w:val="22"/>
          <w:szCs w:val="22"/>
        </w:rPr>
        <w:t>, woln</w:t>
      </w:r>
      <w:r w:rsidR="00574B77">
        <w:rPr>
          <w:rFonts w:ascii="Calibri" w:hAnsi="Calibri" w:cstheme="majorHAnsi"/>
          <w:sz w:val="22"/>
          <w:szCs w:val="22"/>
        </w:rPr>
        <w:t>e</w:t>
      </w:r>
      <w:r>
        <w:rPr>
          <w:rFonts w:ascii="Calibri" w:hAnsi="Calibri" w:cstheme="majorHAnsi"/>
          <w:sz w:val="22"/>
          <w:szCs w:val="22"/>
        </w:rPr>
        <w:t xml:space="preserve"> od wad oraz wyprodukowan</w:t>
      </w:r>
      <w:r w:rsidR="00574B77">
        <w:rPr>
          <w:rFonts w:ascii="Calibri" w:hAnsi="Calibri" w:cstheme="majorHAnsi"/>
          <w:sz w:val="22"/>
          <w:szCs w:val="22"/>
        </w:rPr>
        <w:t>e</w:t>
      </w:r>
      <w:r>
        <w:rPr>
          <w:rFonts w:ascii="Calibri" w:hAnsi="Calibri" w:cstheme="majorHAnsi"/>
          <w:sz w:val="22"/>
          <w:szCs w:val="22"/>
        </w:rPr>
        <w:t xml:space="preserve"> </w:t>
      </w:r>
      <w:r w:rsidR="00574B77">
        <w:rPr>
          <w:rFonts w:ascii="Calibri" w:hAnsi="Calibri" w:cstheme="majorHAnsi"/>
          <w:sz w:val="22"/>
          <w:szCs w:val="22"/>
        </w:rPr>
        <w:t>nie wcześniej niż 12 miesięcy przed datą dostawy.</w:t>
      </w:r>
    </w:p>
    <w:p w14:paraId="6BAD38A0" w14:textId="7A5CB0A7" w:rsidR="00F754E7" w:rsidRDefault="00F754E7" w:rsidP="00E75187">
      <w:pPr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>Certyfikaty – oferowany sprzęt musi posiadać certyfikat zgodności wyrobu z normami europejskimi „CE” (</w:t>
      </w:r>
      <w:proofErr w:type="spellStart"/>
      <w:r>
        <w:rPr>
          <w:rFonts w:ascii="Calibri" w:hAnsi="Calibri" w:cstheme="majorHAnsi"/>
          <w:sz w:val="22"/>
          <w:szCs w:val="22"/>
        </w:rPr>
        <w:t>Conformie</w:t>
      </w:r>
      <w:proofErr w:type="spellEnd"/>
      <w:r>
        <w:rPr>
          <w:rFonts w:ascii="Calibri" w:hAnsi="Calibri" w:cstheme="majorHAnsi"/>
          <w:sz w:val="22"/>
          <w:szCs w:val="22"/>
        </w:rPr>
        <w:t xml:space="preserve"> </w:t>
      </w:r>
      <w:proofErr w:type="spellStart"/>
      <w:r>
        <w:rPr>
          <w:rFonts w:ascii="Calibri" w:hAnsi="Calibri" w:cstheme="majorHAnsi"/>
          <w:sz w:val="22"/>
          <w:szCs w:val="22"/>
        </w:rPr>
        <w:t>Europeenne</w:t>
      </w:r>
      <w:proofErr w:type="spellEnd"/>
      <w:r>
        <w:rPr>
          <w:rFonts w:ascii="Calibri" w:hAnsi="Calibri" w:cstheme="majorHAnsi"/>
          <w:sz w:val="22"/>
          <w:szCs w:val="22"/>
        </w:rPr>
        <w:t xml:space="preserve"> – Zgodność Europejska) oraz musi być oznakowany symbolem „CE”. </w:t>
      </w:r>
      <w:r w:rsidR="006D0D21">
        <w:rPr>
          <w:rFonts w:ascii="Calibri" w:hAnsi="Calibri" w:cstheme="majorHAnsi"/>
          <w:sz w:val="22"/>
          <w:szCs w:val="22"/>
        </w:rPr>
        <w:t>Dostarczony sprzęt winien posiadać certyfikaty</w:t>
      </w:r>
      <w:r w:rsidR="00574B77">
        <w:rPr>
          <w:rFonts w:ascii="Calibri" w:hAnsi="Calibri" w:cstheme="majorHAnsi"/>
          <w:sz w:val="22"/>
          <w:szCs w:val="22"/>
        </w:rPr>
        <w:t>.</w:t>
      </w:r>
      <w:r w:rsidR="006D0D21">
        <w:rPr>
          <w:rFonts w:ascii="Calibri" w:hAnsi="Calibri" w:cstheme="majorHAnsi"/>
          <w:sz w:val="22"/>
          <w:szCs w:val="22"/>
        </w:rPr>
        <w:t xml:space="preserve"> </w:t>
      </w:r>
      <w:r w:rsidRPr="00574B77">
        <w:rPr>
          <w:rFonts w:ascii="Calibri" w:hAnsi="Calibri" w:cstheme="majorHAnsi"/>
          <w:sz w:val="22"/>
          <w:szCs w:val="22"/>
        </w:rPr>
        <w:t>Wymagane certyfikaty</w:t>
      </w:r>
      <w:r w:rsidR="00574B77">
        <w:rPr>
          <w:rFonts w:ascii="Calibri" w:hAnsi="Calibri" w:cstheme="majorHAnsi"/>
          <w:sz w:val="22"/>
          <w:szCs w:val="22"/>
        </w:rPr>
        <w:t xml:space="preserve"> zgodne z obowiązującymi przepisami prawa</w:t>
      </w:r>
      <w:r w:rsidR="003D50A8">
        <w:rPr>
          <w:rFonts w:ascii="Calibri" w:hAnsi="Calibri" w:cstheme="majorHAnsi"/>
          <w:sz w:val="22"/>
          <w:szCs w:val="22"/>
        </w:rPr>
        <w:t>,</w:t>
      </w:r>
      <w:r>
        <w:rPr>
          <w:rFonts w:ascii="Calibri" w:hAnsi="Calibri" w:cstheme="majorHAnsi"/>
          <w:sz w:val="22"/>
          <w:szCs w:val="22"/>
        </w:rPr>
        <w:t xml:space="preserve"> Wykonawca, z którym zostanie podpisana umowa dołączy przy dostawie</w:t>
      </w:r>
      <w:r w:rsidR="00574B77">
        <w:rPr>
          <w:rFonts w:ascii="Calibri" w:hAnsi="Calibri" w:cstheme="majorHAnsi"/>
          <w:sz w:val="22"/>
          <w:szCs w:val="22"/>
        </w:rPr>
        <w:t>.</w:t>
      </w:r>
    </w:p>
    <w:p w14:paraId="0FF611BE" w14:textId="753DD72A" w:rsidR="003D50A8" w:rsidRDefault="003D50A8" w:rsidP="00E75187">
      <w:pPr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W okresie gwarancji Wykonawca zobowiązuje się do usuwania ujawnionych usterek uniemożliwiających poprawne funkcjonowanie </w:t>
      </w:r>
      <w:r w:rsidR="00574B77">
        <w:rPr>
          <w:rFonts w:ascii="Calibri" w:hAnsi="Calibri" w:cstheme="majorHAnsi"/>
          <w:sz w:val="22"/>
          <w:szCs w:val="22"/>
        </w:rPr>
        <w:t>urządzeń</w:t>
      </w:r>
      <w:r>
        <w:rPr>
          <w:rFonts w:ascii="Calibri" w:hAnsi="Calibri" w:cstheme="majorHAnsi"/>
          <w:sz w:val="22"/>
          <w:szCs w:val="22"/>
        </w:rPr>
        <w:t>, zwanych „wadami” lub dostarczenia sprzętu wolnego od wad.</w:t>
      </w:r>
    </w:p>
    <w:p w14:paraId="2869F02E" w14:textId="499FD542" w:rsidR="003D50A8" w:rsidRDefault="003D50A8" w:rsidP="00E75187">
      <w:pPr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W przypadku wymiany przez Wykonawcę </w:t>
      </w:r>
      <w:r w:rsidR="00574B77">
        <w:rPr>
          <w:rFonts w:ascii="Calibri" w:hAnsi="Calibri" w:cstheme="majorHAnsi"/>
          <w:sz w:val="22"/>
          <w:szCs w:val="22"/>
        </w:rPr>
        <w:t>urządzeń</w:t>
      </w:r>
      <w:r>
        <w:rPr>
          <w:rFonts w:ascii="Calibri" w:hAnsi="Calibri" w:cstheme="majorHAnsi"/>
          <w:sz w:val="22"/>
          <w:szCs w:val="22"/>
        </w:rPr>
        <w:t xml:space="preserve"> wadliw</w:t>
      </w:r>
      <w:r w:rsidR="00574B77">
        <w:rPr>
          <w:rFonts w:ascii="Calibri" w:hAnsi="Calibri" w:cstheme="majorHAnsi"/>
          <w:sz w:val="22"/>
          <w:szCs w:val="22"/>
        </w:rPr>
        <w:t>ych</w:t>
      </w:r>
      <w:r>
        <w:rPr>
          <w:rFonts w:ascii="Calibri" w:hAnsi="Calibri" w:cstheme="majorHAnsi"/>
          <w:sz w:val="22"/>
          <w:szCs w:val="22"/>
        </w:rPr>
        <w:t xml:space="preserve"> na wolny od wad, strony podpiszą protokół wymiany </w:t>
      </w:r>
      <w:r w:rsidR="00574B77">
        <w:rPr>
          <w:rFonts w:ascii="Calibri" w:hAnsi="Calibri" w:cstheme="majorHAnsi"/>
          <w:sz w:val="22"/>
          <w:szCs w:val="22"/>
        </w:rPr>
        <w:t>urządzeń</w:t>
      </w:r>
      <w:r>
        <w:rPr>
          <w:rFonts w:ascii="Calibri" w:hAnsi="Calibri" w:cstheme="majorHAnsi"/>
          <w:sz w:val="22"/>
          <w:szCs w:val="22"/>
        </w:rPr>
        <w:t>. Gwarancja na wymienion</w:t>
      </w:r>
      <w:r w:rsidR="00574B77">
        <w:rPr>
          <w:rFonts w:ascii="Calibri" w:hAnsi="Calibri" w:cstheme="majorHAnsi"/>
          <w:sz w:val="22"/>
          <w:szCs w:val="22"/>
        </w:rPr>
        <w:t>e</w:t>
      </w:r>
      <w:r>
        <w:rPr>
          <w:rFonts w:ascii="Calibri" w:hAnsi="Calibri" w:cstheme="majorHAnsi"/>
          <w:sz w:val="22"/>
          <w:szCs w:val="22"/>
        </w:rPr>
        <w:t xml:space="preserve">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>
        <w:rPr>
          <w:rFonts w:ascii="Calibri" w:hAnsi="Calibri" w:cstheme="majorHAnsi"/>
          <w:sz w:val="22"/>
          <w:szCs w:val="22"/>
        </w:rPr>
        <w:t xml:space="preserve"> biegnie na nowo, liczona będzie od daty podpisania danego protokołu wymiany </w:t>
      </w:r>
      <w:r w:rsidR="00574B77">
        <w:rPr>
          <w:rFonts w:ascii="Calibri" w:hAnsi="Calibri" w:cstheme="majorHAnsi"/>
          <w:sz w:val="22"/>
          <w:szCs w:val="22"/>
        </w:rPr>
        <w:t>urządzeń.</w:t>
      </w:r>
    </w:p>
    <w:p w14:paraId="2B1B400A" w14:textId="69B8E773" w:rsidR="003D50A8" w:rsidRDefault="003D50A8" w:rsidP="00E75187">
      <w:pPr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Po trzykrotnych naprawach tego samego podzespołu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>
        <w:rPr>
          <w:rFonts w:ascii="Calibri" w:hAnsi="Calibri" w:cstheme="majorHAnsi"/>
          <w:sz w:val="22"/>
          <w:szCs w:val="22"/>
        </w:rPr>
        <w:t xml:space="preserve"> w tym samym egzemplarzu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>
        <w:rPr>
          <w:rFonts w:ascii="Calibri" w:hAnsi="Calibri" w:cstheme="majorHAnsi"/>
          <w:sz w:val="22"/>
          <w:szCs w:val="22"/>
        </w:rPr>
        <w:t xml:space="preserve"> Wykonawca zobowiązuje się wymienić wadliwy egzemplarz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>
        <w:rPr>
          <w:rFonts w:ascii="Calibri" w:hAnsi="Calibri" w:cstheme="majorHAnsi"/>
          <w:sz w:val="22"/>
          <w:szCs w:val="22"/>
        </w:rPr>
        <w:t xml:space="preserve"> na wolny od wad w przypadku gdy w </w:t>
      </w:r>
      <w:r w:rsidR="00574B77">
        <w:rPr>
          <w:rFonts w:ascii="Calibri" w:hAnsi="Calibri" w:cstheme="majorHAnsi"/>
          <w:sz w:val="22"/>
          <w:szCs w:val="22"/>
        </w:rPr>
        <w:t>urządzeniu</w:t>
      </w:r>
      <w:r>
        <w:rPr>
          <w:rFonts w:ascii="Calibri" w:hAnsi="Calibri" w:cstheme="majorHAnsi"/>
          <w:sz w:val="22"/>
          <w:szCs w:val="22"/>
        </w:rPr>
        <w:t xml:space="preserve"> występuje wada, w jakimkolwiek podzespole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>
        <w:rPr>
          <w:rFonts w:ascii="Calibri" w:hAnsi="Calibri" w:cstheme="majorHAnsi"/>
          <w:sz w:val="22"/>
          <w:szCs w:val="22"/>
        </w:rPr>
        <w:t>.</w:t>
      </w:r>
    </w:p>
    <w:p w14:paraId="36901989" w14:textId="58BD8BE0" w:rsidR="00373350" w:rsidRPr="00841191" w:rsidRDefault="00373350" w:rsidP="00E75187">
      <w:pPr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Wykonawca zapewni w okresie objętym gwarancją naprawę uszkodzonego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>
        <w:rPr>
          <w:rFonts w:ascii="Calibri" w:hAnsi="Calibri" w:cstheme="majorHAnsi"/>
          <w:sz w:val="22"/>
          <w:szCs w:val="22"/>
        </w:rPr>
        <w:t xml:space="preserve"> w miejscu użytkowania. W przypadku wymiany podzespołów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>
        <w:rPr>
          <w:rFonts w:ascii="Calibri" w:hAnsi="Calibri" w:cstheme="majorHAnsi"/>
          <w:sz w:val="22"/>
          <w:szCs w:val="22"/>
        </w:rPr>
        <w:t xml:space="preserve"> Wykonawca zobowiązany jest do </w:t>
      </w:r>
      <w:r w:rsidRPr="00841191">
        <w:rPr>
          <w:rFonts w:ascii="Calibri" w:hAnsi="Calibri" w:cstheme="majorHAnsi"/>
          <w:sz w:val="22"/>
          <w:szCs w:val="22"/>
        </w:rPr>
        <w:t xml:space="preserve">zainstalowania podzespołów </w:t>
      </w:r>
      <w:r w:rsidR="00574B77" w:rsidRPr="00841191">
        <w:rPr>
          <w:rFonts w:ascii="Calibri" w:hAnsi="Calibri" w:cstheme="majorHAnsi"/>
          <w:sz w:val="22"/>
          <w:szCs w:val="22"/>
        </w:rPr>
        <w:t>urządzenia</w:t>
      </w:r>
      <w:r w:rsidRPr="00841191">
        <w:rPr>
          <w:rFonts w:ascii="Calibri" w:hAnsi="Calibri" w:cstheme="majorHAnsi"/>
          <w:sz w:val="22"/>
          <w:szCs w:val="22"/>
        </w:rPr>
        <w:t xml:space="preserve"> fabrycznie nowych.</w:t>
      </w:r>
    </w:p>
    <w:p w14:paraId="71135B52" w14:textId="06794079" w:rsidR="00913238" w:rsidRPr="00841191" w:rsidRDefault="00373350" w:rsidP="00574B77">
      <w:pPr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 w:rsidRPr="00841191">
        <w:rPr>
          <w:rFonts w:ascii="Calibri" w:hAnsi="Calibri" w:cstheme="majorHAnsi"/>
          <w:sz w:val="22"/>
          <w:szCs w:val="22"/>
        </w:rPr>
        <w:t>Zamawiający w okresie gwarancji zgłas</w:t>
      </w:r>
      <w:r w:rsidR="00B631B3" w:rsidRPr="00841191">
        <w:rPr>
          <w:rFonts w:ascii="Calibri" w:hAnsi="Calibri" w:cstheme="majorHAnsi"/>
          <w:sz w:val="22"/>
          <w:szCs w:val="22"/>
        </w:rPr>
        <w:t>z</w:t>
      </w:r>
      <w:r w:rsidRPr="00841191">
        <w:rPr>
          <w:rFonts w:ascii="Calibri" w:hAnsi="Calibri" w:cstheme="majorHAnsi"/>
          <w:sz w:val="22"/>
          <w:szCs w:val="22"/>
        </w:rPr>
        <w:t xml:space="preserve">a wszelkie wady </w:t>
      </w:r>
      <w:r w:rsidR="00574B77" w:rsidRPr="00841191">
        <w:rPr>
          <w:rFonts w:ascii="Calibri" w:hAnsi="Calibri" w:cstheme="majorHAnsi"/>
          <w:sz w:val="22"/>
          <w:szCs w:val="22"/>
        </w:rPr>
        <w:t>urządzeń</w:t>
      </w:r>
      <w:r w:rsidRPr="00841191">
        <w:rPr>
          <w:rFonts w:ascii="Calibri" w:hAnsi="Calibri" w:cstheme="majorHAnsi"/>
          <w:sz w:val="22"/>
          <w:szCs w:val="22"/>
        </w:rPr>
        <w:t xml:space="preserve"> do Wykonawcy. Czas naprawy </w:t>
      </w:r>
      <w:r w:rsidR="00B631B3" w:rsidRPr="00841191">
        <w:rPr>
          <w:rFonts w:ascii="Calibri" w:hAnsi="Calibri" w:cstheme="majorHAnsi"/>
          <w:sz w:val="22"/>
          <w:szCs w:val="22"/>
        </w:rPr>
        <w:t>liczony jest od momentu przesłania przez Zamawiającego zgłoszenia na numer faksu Wykonawcy</w:t>
      </w:r>
      <w:r w:rsidR="00574B77" w:rsidRPr="00841191">
        <w:rPr>
          <w:rFonts w:ascii="Calibri" w:hAnsi="Calibri" w:cstheme="majorHAnsi"/>
          <w:sz w:val="22"/>
          <w:szCs w:val="22"/>
        </w:rPr>
        <w:t xml:space="preserve"> </w:t>
      </w:r>
      <w:r w:rsidR="00DB4DC1" w:rsidRPr="00841191">
        <w:rPr>
          <w:rFonts w:ascii="Calibri" w:hAnsi="Calibri" w:cstheme="majorHAnsi"/>
          <w:sz w:val="22"/>
          <w:szCs w:val="22"/>
        </w:rPr>
        <w:t>l</w:t>
      </w:r>
      <w:r w:rsidR="00B631B3" w:rsidRPr="00841191">
        <w:rPr>
          <w:rFonts w:ascii="Calibri" w:hAnsi="Calibri" w:cstheme="majorHAnsi"/>
          <w:sz w:val="22"/>
          <w:szCs w:val="22"/>
        </w:rPr>
        <w:t>ub na adres e-mail</w:t>
      </w:r>
      <w:r w:rsidR="00574B77" w:rsidRPr="00841191">
        <w:rPr>
          <w:rFonts w:ascii="Calibri" w:hAnsi="Calibri" w:cstheme="majorHAnsi"/>
          <w:sz w:val="22"/>
          <w:szCs w:val="22"/>
        </w:rPr>
        <w:t xml:space="preserve"> (zostanie wpisany do umowy)</w:t>
      </w:r>
      <w:r w:rsidR="00B631B3" w:rsidRPr="00841191">
        <w:rPr>
          <w:rFonts w:ascii="Calibri" w:hAnsi="Calibri" w:cstheme="majorHAnsi"/>
          <w:sz w:val="22"/>
          <w:szCs w:val="22"/>
        </w:rPr>
        <w:t xml:space="preserve"> do momentu odbioru naprawionego </w:t>
      </w:r>
      <w:r w:rsidR="00574B77" w:rsidRPr="00841191">
        <w:rPr>
          <w:rFonts w:ascii="Calibri" w:hAnsi="Calibri" w:cstheme="majorHAnsi"/>
          <w:sz w:val="22"/>
          <w:szCs w:val="22"/>
        </w:rPr>
        <w:t>urządzenia</w:t>
      </w:r>
      <w:r w:rsidR="00B631B3" w:rsidRPr="00841191">
        <w:rPr>
          <w:rFonts w:ascii="Calibri" w:hAnsi="Calibri" w:cstheme="majorHAnsi"/>
          <w:sz w:val="22"/>
          <w:szCs w:val="22"/>
        </w:rPr>
        <w:t xml:space="preserve">, potwierdzonego protokołem naprawy/wymiany. </w:t>
      </w:r>
    </w:p>
    <w:p w14:paraId="01379C09" w14:textId="02418F6C" w:rsidR="00E8604B" w:rsidRPr="00841191" w:rsidRDefault="00C42818" w:rsidP="00E75187">
      <w:pPr>
        <w:pStyle w:val="Akapitzlist"/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 w:rsidRPr="00841191">
        <w:rPr>
          <w:rFonts w:ascii="Calibri" w:hAnsi="Calibri" w:cstheme="majorHAnsi"/>
          <w:sz w:val="22"/>
          <w:szCs w:val="22"/>
        </w:rPr>
        <w:t xml:space="preserve">W okresie gwarancji wszelkie koszty naprawy </w:t>
      </w:r>
      <w:r w:rsidR="006D4142" w:rsidRPr="00841191">
        <w:rPr>
          <w:rFonts w:ascii="Calibri" w:hAnsi="Calibri" w:cstheme="majorHAnsi"/>
          <w:sz w:val="22"/>
          <w:szCs w:val="22"/>
        </w:rPr>
        <w:t>, w tym koszt transportu, ponosi Wykonawca.</w:t>
      </w:r>
    </w:p>
    <w:p w14:paraId="2827CE85" w14:textId="78FC141E" w:rsidR="006D4142" w:rsidRDefault="00B90909" w:rsidP="00E75187">
      <w:pPr>
        <w:pStyle w:val="Akapitzlist"/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 </w:t>
      </w:r>
      <w:r w:rsidR="006D4142">
        <w:rPr>
          <w:rFonts w:ascii="Calibri" w:hAnsi="Calibri" w:cstheme="majorHAnsi"/>
          <w:sz w:val="22"/>
          <w:szCs w:val="22"/>
        </w:rPr>
        <w:t xml:space="preserve">W przypadku stwierdzenia przez Zamawiającego w trakcie biegu okresu gwarancji wady lub usterki techniczne jakiegoś podzespołu </w:t>
      </w:r>
      <w:r w:rsidR="00574B77">
        <w:rPr>
          <w:rFonts w:ascii="Calibri" w:hAnsi="Calibri" w:cstheme="majorHAnsi"/>
          <w:sz w:val="22"/>
          <w:szCs w:val="22"/>
        </w:rPr>
        <w:t>urz</w:t>
      </w:r>
      <w:r w:rsidR="00841191">
        <w:rPr>
          <w:rFonts w:ascii="Calibri" w:hAnsi="Calibri" w:cstheme="majorHAnsi"/>
          <w:sz w:val="22"/>
          <w:szCs w:val="22"/>
        </w:rPr>
        <w:t>ą</w:t>
      </w:r>
      <w:bookmarkStart w:id="4" w:name="_GoBack"/>
      <w:bookmarkEnd w:id="4"/>
      <w:r w:rsidR="00574B77">
        <w:rPr>
          <w:rFonts w:ascii="Calibri" w:hAnsi="Calibri" w:cstheme="majorHAnsi"/>
          <w:sz w:val="22"/>
          <w:szCs w:val="22"/>
        </w:rPr>
        <w:t>dzenia</w:t>
      </w:r>
      <w:r w:rsidR="006D4142">
        <w:rPr>
          <w:rFonts w:ascii="Calibri" w:hAnsi="Calibri" w:cstheme="majorHAnsi"/>
          <w:sz w:val="22"/>
          <w:szCs w:val="22"/>
        </w:rPr>
        <w:t xml:space="preserve"> w dostarczonym sprzęcie, Wykonawca na własny koszt wymieni te podzespoły na nowe, wolne od wad.</w:t>
      </w:r>
    </w:p>
    <w:p w14:paraId="21B082FA" w14:textId="26A868B7" w:rsidR="006D4142" w:rsidRDefault="00B90909" w:rsidP="00E75187">
      <w:pPr>
        <w:pStyle w:val="Akapitzlist"/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 </w:t>
      </w:r>
      <w:r w:rsidR="006D4142">
        <w:rPr>
          <w:rFonts w:ascii="Calibri" w:hAnsi="Calibri" w:cstheme="majorHAnsi"/>
          <w:sz w:val="22"/>
          <w:szCs w:val="22"/>
        </w:rPr>
        <w:t xml:space="preserve">Każda wymiana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 w:rsidR="006D4142">
        <w:rPr>
          <w:rFonts w:ascii="Calibri" w:hAnsi="Calibri" w:cstheme="majorHAnsi"/>
          <w:sz w:val="22"/>
          <w:szCs w:val="22"/>
        </w:rPr>
        <w:t xml:space="preserve"> lub podzespołu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 w:rsidR="006D4142">
        <w:rPr>
          <w:rFonts w:ascii="Calibri" w:hAnsi="Calibri" w:cstheme="majorHAnsi"/>
          <w:sz w:val="22"/>
          <w:szCs w:val="22"/>
        </w:rPr>
        <w:t xml:space="preserve"> musi być potwierdzona protokołem naprawy/wymiany podpisanym przez obie strony.</w:t>
      </w:r>
    </w:p>
    <w:p w14:paraId="2728D46E" w14:textId="1E4EEDEA" w:rsidR="006D4142" w:rsidRDefault="00B90909" w:rsidP="00E75187">
      <w:pPr>
        <w:pStyle w:val="Akapitzlist"/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 </w:t>
      </w:r>
      <w:r w:rsidR="006D4142">
        <w:rPr>
          <w:rFonts w:ascii="Calibri" w:hAnsi="Calibri" w:cstheme="majorHAnsi"/>
          <w:sz w:val="22"/>
          <w:szCs w:val="22"/>
        </w:rPr>
        <w:t xml:space="preserve">Numer seryjny wymienionego </w:t>
      </w:r>
      <w:r w:rsidR="00574B77">
        <w:rPr>
          <w:rFonts w:ascii="Calibri" w:hAnsi="Calibri" w:cstheme="majorHAnsi"/>
          <w:sz w:val="22"/>
          <w:szCs w:val="22"/>
        </w:rPr>
        <w:t>urządzenia</w:t>
      </w:r>
      <w:r w:rsidR="006D4142">
        <w:rPr>
          <w:rFonts w:ascii="Calibri" w:hAnsi="Calibri" w:cstheme="majorHAnsi"/>
          <w:sz w:val="22"/>
          <w:szCs w:val="22"/>
        </w:rPr>
        <w:t xml:space="preserve"> nie może być identyczny z numerem seryjnym występującym w jakimkolwiek protokole odbioru w ramach przedmiotu zamówienia. </w:t>
      </w:r>
    </w:p>
    <w:p w14:paraId="695D4E7A" w14:textId="16946A0E" w:rsidR="00C30B16" w:rsidRDefault="00B90909" w:rsidP="00E75187">
      <w:pPr>
        <w:pStyle w:val="Akapitzlist"/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 </w:t>
      </w:r>
      <w:r w:rsidR="00C30B16">
        <w:rPr>
          <w:rFonts w:ascii="Calibri" w:hAnsi="Calibri" w:cstheme="majorHAnsi"/>
          <w:sz w:val="22"/>
          <w:szCs w:val="22"/>
        </w:rPr>
        <w:t>Zamawiający niezależnie od uprawnień wynikających z gwarancji upoważniony jest do korzystania z uprawnień wynikających z rękojmi. Zamawiający zastrzega sobie prawo korzystania z uprawnień wynikających z rękojmi w okresie trwania gwarancji.</w:t>
      </w:r>
    </w:p>
    <w:p w14:paraId="4C77EADC" w14:textId="56B54891" w:rsidR="00AC1A19" w:rsidRDefault="00AC1A19" w:rsidP="00E75187">
      <w:pPr>
        <w:pStyle w:val="Akapitzlist"/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 </w:t>
      </w:r>
      <w:r w:rsidR="00B90909">
        <w:rPr>
          <w:rFonts w:ascii="Calibri" w:hAnsi="Calibri" w:cstheme="majorHAnsi"/>
          <w:sz w:val="22"/>
          <w:szCs w:val="22"/>
        </w:rPr>
        <w:t xml:space="preserve"> </w:t>
      </w:r>
      <w:r>
        <w:rPr>
          <w:rFonts w:ascii="Calibri" w:hAnsi="Calibri" w:cstheme="majorHAnsi"/>
          <w:sz w:val="22"/>
          <w:szCs w:val="22"/>
        </w:rPr>
        <w:t>Wykonawca wraz z dostawą dostarczy instrukcje użytkownika w języku polskim.</w:t>
      </w:r>
    </w:p>
    <w:p w14:paraId="13E73303" w14:textId="62ABDFBD" w:rsidR="00AC1A19" w:rsidRDefault="00B90909" w:rsidP="00E75187">
      <w:pPr>
        <w:pStyle w:val="Akapitzlist"/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 Wykonawca wraz z dostawą dostarczy pisemną gwarancję w języku polskim na przedmiot zamówienia.</w:t>
      </w:r>
    </w:p>
    <w:p w14:paraId="76B34A9F" w14:textId="7177EDE2" w:rsidR="00A84697" w:rsidRDefault="00A84697" w:rsidP="00E75187">
      <w:pPr>
        <w:pStyle w:val="Akapitzlist"/>
        <w:numPr>
          <w:ilvl w:val="0"/>
          <w:numId w:val="9"/>
        </w:numPr>
        <w:suppressAutoHyphens w:val="0"/>
        <w:spacing w:after="44" w:line="271" w:lineRule="auto"/>
        <w:ind w:left="284" w:hanging="284"/>
        <w:jc w:val="both"/>
        <w:rPr>
          <w:rFonts w:ascii="Calibri" w:hAnsi="Calibri" w:cstheme="majorHAnsi"/>
          <w:sz w:val="22"/>
          <w:szCs w:val="22"/>
        </w:rPr>
      </w:pPr>
      <w:r>
        <w:rPr>
          <w:rFonts w:ascii="Calibri" w:hAnsi="Calibri" w:cstheme="majorHAnsi"/>
          <w:sz w:val="22"/>
          <w:szCs w:val="22"/>
        </w:rPr>
        <w:t xml:space="preserve"> Dostarczone licencje będą wolne od roszczeń osób trzecich z tytułu naruszenia praw autorskich oraz innych praw pokrewnych, a w szczególności patentów, zarejestrowanych znaków i wzorów w związku z użytkowaniem sprzętu oraz bez możliwości ich wypowiedzenia.</w:t>
      </w:r>
    </w:p>
    <w:p w14:paraId="2735D409" w14:textId="77777777" w:rsidR="00DB4DC1" w:rsidRDefault="00DB4DC1" w:rsidP="00C30B16">
      <w:pPr>
        <w:pStyle w:val="Akapitzlist"/>
        <w:suppressAutoHyphens w:val="0"/>
        <w:spacing w:after="44" w:line="271" w:lineRule="auto"/>
        <w:ind w:left="705"/>
        <w:jc w:val="both"/>
        <w:rPr>
          <w:rFonts w:ascii="Calibri" w:hAnsi="Calibri" w:cstheme="majorHAnsi"/>
          <w:b/>
          <w:bCs/>
          <w:sz w:val="22"/>
          <w:szCs w:val="22"/>
        </w:rPr>
      </w:pPr>
    </w:p>
    <w:p w14:paraId="5AD0CC30" w14:textId="27D4BBD0" w:rsidR="00C30B16" w:rsidRPr="00C30B16" w:rsidRDefault="00C30B16" w:rsidP="00C30B16">
      <w:pPr>
        <w:pStyle w:val="Akapitzlist"/>
        <w:suppressAutoHyphens w:val="0"/>
        <w:spacing w:after="44" w:line="271" w:lineRule="auto"/>
        <w:ind w:left="705"/>
        <w:jc w:val="both"/>
        <w:rPr>
          <w:rFonts w:ascii="Calibri" w:hAnsi="Calibri" w:cstheme="majorHAnsi"/>
          <w:b/>
          <w:bCs/>
          <w:sz w:val="22"/>
          <w:szCs w:val="22"/>
        </w:rPr>
      </w:pPr>
      <w:r w:rsidRPr="00C30B16">
        <w:rPr>
          <w:rFonts w:ascii="Calibri" w:hAnsi="Calibri" w:cstheme="majorHAnsi"/>
          <w:b/>
          <w:bCs/>
          <w:sz w:val="22"/>
          <w:szCs w:val="22"/>
        </w:rPr>
        <w:t>GWARANCJA NA SYSTEM</w:t>
      </w:r>
    </w:p>
    <w:p w14:paraId="6BF291B3" w14:textId="4748DC3F" w:rsidR="001C0EB5" w:rsidRPr="00DB4DC1" w:rsidRDefault="001C0EB5" w:rsidP="00DB4DC1">
      <w:pPr>
        <w:pStyle w:val="Akapitzlist"/>
        <w:numPr>
          <w:ilvl w:val="0"/>
          <w:numId w:val="13"/>
        </w:numPr>
        <w:suppressAutoHyphens w:val="0"/>
        <w:spacing w:after="44" w:line="271" w:lineRule="auto"/>
        <w:ind w:left="426" w:hanging="426"/>
        <w:jc w:val="both"/>
        <w:rPr>
          <w:rFonts w:ascii="Calibri" w:hAnsi="Calibri" w:cstheme="majorHAnsi"/>
          <w:sz w:val="22"/>
          <w:szCs w:val="22"/>
        </w:rPr>
      </w:pPr>
      <w:r w:rsidRPr="00DB4DC1">
        <w:rPr>
          <w:rFonts w:ascii="Calibri" w:hAnsi="Calibri" w:cstheme="majorHAnsi"/>
          <w:sz w:val="22"/>
          <w:szCs w:val="22"/>
        </w:rPr>
        <w:t xml:space="preserve">W okresie gwarancji Wykonawca zapewni dostosowanie systemu do ewentualnych zmian w przepisach prawa. </w:t>
      </w:r>
    </w:p>
    <w:p w14:paraId="18B73114" w14:textId="2D9238F7" w:rsidR="004A4E1E" w:rsidRPr="00B211F8" w:rsidRDefault="004A4E1E" w:rsidP="00DB4DC1">
      <w:pPr>
        <w:numPr>
          <w:ilvl w:val="0"/>
          <w:numId w:val="13"/>
        </w:numPr>
        <w:suppressAutoHyphens w:val="0"/>
        <w:spacing w:after="44" w:line="271" w:lineRule="auto"/>
        <w:ind w:left="426" w:hanging="426"/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 xml:space="preserve">Wykonawca zobowiązany będzie świadczyć usługi serwisu gwarancyjnego w zakresie wdrożonego </w:t>
      </w:r>
      <w:r w:rsidR="00574B77">
        <w:rPr>
          <w:rFonts w:ascii="Calibri" w:hAnsi="Calibri" w:cstheme="majorHAnsi"/>
          <w:sz w:val="22"/>
          <w:szCs w:val="22"/>
        </w:rPr>
        <w:t>s</w:t>
      </w:r>
      <w:r w:rsidRPr="00B211F8">
        <w:rPr>
          <w:rFonts w:ascii="Calibri" w:hAnsi="Calibri" w:cstheme="majorHAnsi"/>
          <w:sz w:val="22"/>
          <w:szCs w:val="22"/>
        </w:rPr>
        <w:t xml:space="preserve">ystemu od dnia zakończenia realizacji projektu, stwierdzonego obustronnym podpisaniem przez </w:t>
      </w:r>
      <w:r w:rsidR="00574B77">
        <w:rPr>
          <w:rFonts w:ascii="Calibri" w:hAnsi="Calibri" w:cstheme="majorHAnsi"/>
          <w:sz w:val="22"/>
          <w:szCs w:val="22"/>
        </w:rPr>
        <w:t>s</w:t>
      </w:r>
      <w:r w:rsidRPr="00B211F8">
        <w:rPr>
          <w:rFonts w:ascii="Calibri" w:hAnsi="Calibri" w:cstheme="majorHAnsi"/>
          <w:sz w:val="22"/>
          <w:szCs w:val="22"/>
        </w:rPr>
        <w:t xml:space="preserve">trony </w:t>
      </w:r>
      <w:r w:rsidR="00574B77">
        <w:rPr>
          <w:rFonts w:ascii="Calibri" w:hAnsi="Calibri" w:cstheme="majorHAnsi"/>
          <w:sz w:val="22"/>
          <w:szCs w:val="22"/>
        </w:rPr>
        <w:t>p</w:t>
      </w:r>
      <w:r w:rsidRPr="00B211F8">
        <w:rPr>
          <w:rFonts w:ascii="Calibri" w:hAnsi="Calibri" w:cstheme="majorHAnsi"/>
          <w:sz w:val="22"/>
          <w:szCs w:val="22"/>
        </w:rPr>
        <w:t xml:space="preserve">rotokołu </w:t>
      </w:r>
      <w:r w:rsidR="00574B77">
        <w:rPr>
          <w:rFonts w:ascii="Calibri" w:hAnsi="Calibri" w:cstheme="majorHAnsi"/>
          <w:sz w:val="22"/>
          <w:szCs w:val="22"/>
        </w:rPr>
        <w:t>o</w:t>
      </w:r>
      <w:r w:rsidRPr="00B211F8">
        <w:rPr>
          <w:rFonts w:ascii="Calibri" w:hAnsi="Calibri" w:cstheme="majorHAnsi"/>
          <w:sz w:val="22"/>
          <w:szCs w:val="22"/>
        </w:rPr>
        <w:t xml:space="preserve">dbioru ostatniego </w:t>
      </w:r>
      <w:r w:rsidR="00574B77">
        <w:rPr>
          <w:rFonts w:ascii="Calibri" w:hAnsi="Calibri" w:cstheme="majorHAnsi"/>
          <w:sz w:val="22"/>
          <w:szCs w:val="22"/>
        </w:rPr>
        <w:t>e</w:t>
      </w:r>
      <w:r w:rsidRPr="00B211F8">
        <w:rPr>
          <w:rFonts w:ascii="Calibri" w:hAnsi="Calibri" w:cstheme="majorHAnsi"/>
          <w:sz w:val="22"/>
          <w:szCs w:val="22"/>
        </w:rPr>
        <w:t>tapu prac</w:t>
      </w:r>
      <w:r w:rsidR="00F754E7">
        <w:rPr>
          <w:rFonts w:ascii="Calibri" w:hAnsi="Calibri" w:cstheme="majorHAnsi"/>
          <w:sz w:val="22"/>
          <w:szCs w:val="22"/>
        </w:rPr>
        <w:t>.</w:t>
      </w:r>
      <w:r w:rsidRPr="00B211F8">
        <w:rPr>
          <w:rFonts w:ascii="Calibri" w:hAnsi="Calibri" w:cstheme="majorHAnsi"/>
          <w:sz w:val="22"/>
          <w:szCs w:val="22"/>
        </w:rPr>
        <w:t xml:space="preserve"> Wykonawca zobowiązuje się świadczyć usługi gwarancyjne w zakresie całości wdrożonego </w:t>
      </w:r>
      <w:r w:rsidR="00574B77">
        <w:rPr>
          <w:rFonts w:ascii="Calibri" w:hAnsi="Calibri" w:cstheme="majorHAnsi"/>
          <w:sz w:val="22"/>
          <w:szCs w:val="22"/>
        </w:rPr>
        <w:t>s</w:t>
      </w:r>
      <w:r w:rsidRPr="00B211F8">
        <w:rPr>
          <w:rFonts w:ascii="Calibri" w:hAnsi="Calibri" w:cstheme="majorHAnsi"/>
          <w:sz w:val="22"/>
          <w:szCs w:val="22"/>
        </w:rPr>
        <w:t>ystemu</w:t>
      </w:r>
      <w:r w:rsidR="00574B77">
        <w:rPr>
          <w:rFonts w:ascii="Calibri" w:hAnsi="Calibri" w:cstheme="majorHAnsi"/>
          <w:sz w:val="22"/>
          <w:szCs w:val="22"/>
        </w:rPr>
        <w:t>, zgodnie ze złożoną ofertą.</w:t>
      </w:r>
      <w:r w:rsidRPr="00B211F8">
        <w:rPr>
          <w:rFonts w:ascii="Calibri" w:hAnsi="Calibri" w:cstheme="majorHAnsi"/>
          <w:sz w:val="22"/>
          <w:szCs w:val="22"/>
        </w:rPr>
        <w:t xml:space="preserve"> </w:t>
      </w:r>
    </w:p>
    <w:p w14:paraId="7B8A7F56" w14:textId="73884DD7" w:rsidR="004A4E1E" w:rsidRPr="00B211F8" w:rsidRDefault="004A4E1E" w:rsidP="00DB4DC1">
      <w:pPr>
        <w:numPr>
          <w:ilvl w:val="0"/>
          <w:numId w:val="13"/>
        </w:numPr>
        <w:suppressAutoHyphens w:val="0"/>
        <w:spacing w:line="321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Serwis gwarancyjny świadczony będzie zdalnie lub w miejscu instalacji oprogramowania </w:t>
      </w:r>
      <w:r w:rsidR="00412F4A">
        <w:rPr>
          <w:rFonts w:ascii="Calibri" w:hAnsi="Calibri" w:cstheme="minorHAnsi"/>
          <w:sz w:val="22"/>
          <w:szCs w:val="22"/>
        </w:rPr>
        <w:br/>
      </w:r>
      <w:r w:rsidRPr="00B211F8">
        <w:rPr>
          <w:rFonts w:ascii="Calibri" w:hAnsi="Calibri" w:cstheme="minorHAnsi"/>
          <w:sz w:val="22"/>
          <w:szCs w:val="22"/>
        </w:rPr>
        <w:t xml:space="preserve">u Zamawiającego. </w:t>
      </w:r>
    </w:p>
    <w:p w14:paraId="27216CC6" w14:textId="77777777" w:rsidR="004A4E1E" w:rsidRPr="00B211F8" w:rsidRDefault="004A4E1E" w:rsidP="00DB4DC1">
      <w:pPr>
        <w:numPr>
          <w:ilvl w:val="0"/>
          <w:numId w:val="13"/>
        </w:numPr>
        <w:suppressAutoHyphens w:val="0"/>
        <w:spacing w:after="16" w:line="271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W celu klasyfikacji rodzajów zgłoszeń wprowadza się następujące pojęcia: </w:t>
      </w:r>
    </w:p>
    <w:p w14:paraId="4856C285" w14:textId="77777777" w:rsidR="004A4E1E" w:rsidRPr="00B211F8" w:rsidRDefault="004A4E1E" w:rsidP="00DB4DC1">
      <w:pPr>
        <w:numPr>
          <w:ilvl w:val="1"/>
          <w:numId w:val="13"/>
        </w:numPr>
        <w:suppressAutoHyphens w:val="0"/>
        <w:spacing w:after="44" w:line="271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Nieprawidłowość – stan Systemu, spowodowany wadami dostarczonego przez Wykonawcę oprogramowania, w którym część Systemu wdrożonego przez Wykonawcę nie funkcjonuje zgodnie z dokumentacją, mogący skutkować lub skutkujący ograniczeniem bądź brakiem realizacji dowolnej funkcji Systemu; </w:t>
      </w:r>
    </w:p>
    <w:p w14:paraId="437132F2" w14:textId="28A3278D" w:rsidR="004A4E1E" w:rsidRPr="00B211F8" w:rsidRDefault="004A4E1E" w:rsidP="00DB4DC1">
      <w:pPr>
        <w:numPr>
          <w:ilvl w:val="1"/>
          <w:numId w:val="13"/>
        </w:numPr>
        <w:suppressAutoHyphens w:val="0"/>
        <w:spacing w:after="44" w:line="271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Kategoria nieprawidłowości A (sytuacja krytyczna) – wystąpił problem, którego skutki spowodowały całkowite zatrzymanie Systemu </w:t>
      </w:r>
      <w:r w:rsidR="006D43BE">
        <w:rPr>
          <w:rFonts w:ascii="Calibri" w:hAnsi="Calibri" w:cstheme="minorHAnsi"/>
          <w:sz w:val="22"/>
          <w:szCs w:val="22"/>
        </w:rPr>
        <w:t>– zgodnie ze złożoną ofertą Wykonawcy.</w:t>
      </w:r>
    </w:p>
    <w:p w14:paraId="68BC4474" w14:textId="69B24410" w:rsidR="004A4E1E" w:rsidRPr="00B211F8" w:rsidRDefault="004A4E1E" w:rsidP="00DB4DC1">
      <w:pPr>
        <w:numPr>
          <w:ilvl w:val="1"/>
          <w:numId w:val="13"/>
        </w:numPr>
        <w:suppressAutoHyphens w:val="0"/>
        <w:spacing w:after="44" w:line="271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Kategoria nieprawidłowości B – wystąpił problem, stwarzający istotne ograniczenie </w:t>
      </w:r>
      <w:r w:rsidR="00412F4A">
        <w:rPr>
          <w:rFonts w:ascii="Calibri" w:hAnsi="Calibri" w:cstheme="minorHAnsi"/>
          <w:sz w:val="22"/>
          <w:szCs w:val="22"/>
        </w:rPr>
        <w:br/>
      </w:r>
      <w:r w:rsidRPr="00B211F8">
        <w:rPr>
          <w:rFonts w:ascii="Calibri" w:hAnsi="Calibri" w:cstheme="minorHAnsi"/>
          <w:sz w:val="22"/>
          <w:szCs w:val="22"/>
        </w:rPr>
        <w:t xml:space="preserve">w działaniu Systemu </w:t>
      </w:r>
    </w:p>
    <w:p w14:paraId="199B0E7A" w14:textId="77777777" w:rsidR="004A4E1E" w:rsidRPr="00B211F8" w:rsidRDefault="004A4E1E" w:rsidP="00DB4DC1">
      <w:pPr>
        <w:numPr>
          <w:ilvl w:val="1"/>
          <w:numId w:val="13"/>
        </w:numPr>
        <w:suppressAutoHyphens w:val="0"/>
        <w:spacing w:after="44" w:line="271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Kategoria nieprawidłowości C – oznacza działanie dostarczonego przez Wykonawcę oprogramowania w sposób niezgodny z dostarczoną dokumentacją. </w:t>
      </w:r>
    </w:p>
    <w:p w14:paraId="6C872D38" w14:textId="5DA01A2F" w:rsidR="004A4E1E" w:rsidRPr="00B211F8" w:rsidRDefault="004A4E1E" w:rsidP="00DB4DC1">
      <w:pPr>
        <w:numPr>
          <w:ilvl w:val="2"/>
          <w:numId w:val="13"/>
        </w:numPr>
        <w:suppressAutoHyphens w:val="0"/>
        <w:spacing w:after="44" w:line="271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Rozwiązanie – zmiana wykonana, dostarczona lub zalecona w dostarczonym przez Wykonawcę oprogramowaniu, której skutkiem jest eliminacja Nieprawidłowości poprzez przywrócenie Systemowi funkcjonalności w pełni zgodnej z aktualną dokumentacją. W szczególności zmiana wykonana w kodzie dostarczonego przez Wykonawcę oprogramowania, zmiana parametrów lub porada usuwająca przyczyny zgłoszenia Problemu, skutkująca prawidłowym działaniem Systemu. </w:t>
      </w:r>
    </w:p>
    <w:p w14:paraId="18DEA173" w14:textId="77777777" w:rsidR="004A4E1E" w:rsidRPr="00B211F8" w:rsidRDefault="004A4E1E" w:rsidP="00DB4DC1">
      <w:pPr>
        <w:numPr>
          <w:ilvl w:val="2"/>
          <w:numId w:val="13"/>
        </w:numPr>
        <w:suppressAutoHyphens w:val="0"/>
        <w:spacing w:after="44" w:line="271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Obejście – tymczasowe rozwiązanie Nieprawidłowości, nie eliminujące całkowicie przyczyny jego powstania, ale zmniejszające Kategorię Nieprawidłowości. </w:t>
      </w:r>
    </w:p>
    <w:p w14:paraId="2FE48608" w14:textId="77777777" w:rsidR="004A4E1E" w:rsidRPr="00B211F8" w:rsidRDefault="004A4E1E" w:rsidP="00DB4DC1">
      <w:pPr>
        <w:numPr>
          <w:ilvl w:val="0"/>
          <w:numId w:val="13"/>
        </w:numPr>
        <w:suppressAutoHyphens w:val="0"/>
        <w:spacing w:after="44" w:line="271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Zgłoszenia problemów będą realizowane przez system helpdesk Wykonawcy lub telefonicznie w godzinach pracy Zamawiającego. </w:t>
      </w:r>
    </w:p>
    <w:p w14:paraId="6CF69ECB" w14:textId="77777777" w:rsidR="004A4E1E" w:rsidRPr="00B211F8" w:rsidRDefault="004A4E1E" w:rsidP="00DB4DC1">
      <w:pPr>
        <w:numPr>
          <w:ilvl w:val="0"/>
          <w:numId w:val="13"/>
        </w:numPr>
        <w:suppressAutoHyphens w:val="0"/>
        <w:spacing w:after="44" w:line="271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Terminy realizacji usług: </w:t>
      </w:r>
    </w:p>
    <w:p w14:paraId="4C36D34C" w14:textId="77777777" w:rsidR="004A4E1E" w:rsidRPr="00B211F8" w:rsidRDefault="004A4E1E" w:rsidP="00DB4DC1">
      <w:pPr>
        <w:numPr>
          <w:ilvl w:val="1"/>
          <w:numId w:val="13"/>
        </w:numPr>
        <w:suppressAutoHyphens w:val="0"/>
        <w:spacing w:after="44" w:line="271" w:lineRule="auto"/>
        <w:ind w:left="709" w:hanging="283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Jeżeli Nieprawidłowość dotyczyć będzie części Systemu wytworzonej przez Wykonawcę, obowiązywać będą następujące terminy realizacji usług: </w:t>
      </w:r>
    </w:p>
    <w:p w14:paraId="6E54E6B2" w14:textId="77777777" w:rsidR="004A4E1E" w:rsidRPr="00B211F8" w:rsidRDefault="004A4E1E" w:rsidP="004A4E1E">
      <w:pPr>
        <w:spacing w:line="259" w:lineRule="auto"/>
        <w:ind w:left="1440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 </w:t>
      </w:r>
    </w:p>
    <w:tbl>
      <w:tblPr>
        <w:tblStyle w:val="TableGrid"/>
        <w:tblW w:w="0" w:type="auto"/>
        <w:tblInd w:w="-10" w:type="dxa"/>
        <w:tblCellMar>
          <w:left w:w="101" w:type="dxa"/>
          <w:right w:w="47" w:type="dxa"/>
        </w:tblCellMar>
        <w:tblLook w:val="04A0" w:firstRow="1" w:lastRow="0" w:firstColumn="1" w:lastColumn="0" w:noHBand="0" w:noVBand="1"/>
      </w:tblPr>
      <w:tblGrid>
        <w:gridCol w:w="1745"/>
        <w:gridCol w:w="3244"/>
        <w:gridCol w:w="4067"/>
      </w:tblGrid>
      <w:tr w:rsidR="004A4E1E" w:rsidRPr="00B211F8" w14:paraId="2BE84C1C" w14:textId="77777777" w:rsidTr="00DB4DC1">
        <w:trPr>
          <w:trHeight w:val="728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231D92" w14:textId="77777777" w:rsidR="004A4E1E" w:rsidRPr="00B211F8" w:rsidRDefault="004A4E1E" w:rsidP="00B211F8">
            <w:pPr>
              <w:spacing w:after="20"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Kategoria </w:t>
            </w:r>
          </w:p>
          <w:p w14:paraId="40323AE3" w14:textId="77777777" w:rsidR="004A4E1E" w:rsidRPr="00B211F8" w:rsidRDefault="004A4E1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Nieprawidłowości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09EFED" w14:textId="592CDDC8" w:rsidR="004A4E1E" w:rsidRPr="00B211F8" w:rsidRDefault="004A4E1E" w:rsidP="00B211F8">
            <w:pPr>
              <w:tabs>
                <w:tab w:val="right" w:pos="1998"/>
              </w:tabs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Maksymalny czas </w:t>
            </w:r>
          </w:p>
          <w:p w14:paraId="324652A8" w14:textId="77777777" w:rsidR="004A4E1E" w:rsidRPr="00B211F8" w:rsidRDefault="004A4E1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reakcji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DDBEAA" w14:textId="77777777" w:rsidR="004A4E1E" w:rsidRPr="00B211F8" w:rsidRDefault="004A4E1E" w:rsidP="00B211F8">
            <w:pPr>
              <w:spacing w:line="259" w:lineRule="auto"/>
              <w:ind w:right="322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Maksymalny czas usunięcia Nieprawidłowości </w:t>
            </w:r>
          </w:p>
        </w:tc>
      </w:tr>
      <w:tr w:rsidR="004A4E1E" w:rsidRPr="00B211F8" w14:paraId="239A9531" w14:textId="77777777" w:rsidTr="00DB4DC1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BCAB89" w14:textId="77777777" w:rsidR="004A4E1E" w:rsidRPr="00B211F8" w:rsidRDefault="004A4E1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A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0D66AF" w14:textId="1A8425E2" w:rsidR="004A4E1E" w:rsidRPr="00B211F8" w:rsidRDefault="006D43B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 xml:space="preserve">Maksymalny </w:t>
            </w:r>
            <w:r w:rsidR="004A4E1E" w:rsidRPr="00B211F8">
              <w:rPr>
                <w:rFonts w:ascii="Calibri" w:hAnsi="Calibri" w:cstheme="minorHAnsi"/>
                <w:sz w:val="22"/>
                <w:szCs w:val="22"/>
              </w:rPr>
              <w:t xml:space="preserve">6 godzin </w:t>
            </w:r>
            <w:r>
              <w:rPr>
                <w:rFonts w:ascii="Calibri" w:hAnsi="Calibri" w:cstheme="minorHAnsi"/>
                <w:sz w:val="22"/>
                <w:szCs w:val="22"/>
              </w:rPr>
              <w:t xml:space="preserve"> - minimalny 2 godziny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291F17" w14:textId="0C0E13BE" w:rsidR="004A4E1E" w:rsidRPr="00B211F8" w:rsidRDefault="006D43B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>
              <w:rPr>
                <w:rFonts w:ascii="Calibri" w:hAnsi="Calibri" w:cstheme="minorHAnsi"/>
                <w:sz w:val="22"/>
                <w:szCs w:val="22"/>
              </w:rPr>
              <w:t>Maksymalnie -</w:t>
            </w:r>
            <w:r w:rsidR="002A02E2">
              <w:rPr>
                <w:rFonts w:ascii="Calibri" w:hAnsi="Calibri" w:cstheme="minorHAnsi"/>
                <w:sz w:val="22"/>
                <w:szCs w:val="22"/>
              </w:rPr>
              <w:t>1</w:t>
            </w:r>
            <w:r w:rsidR="004A4E1E" w:rsidRPr="00B211F8">
              <w:rPr>
                <w:rFonts w:ascii="Calibri" w:hAnsi="Calibri" w:cstheme="minorHAnsi"/>
                <w:sz w:val="22"/>
                <w:szCs w:val="22"/>
              </w:rPr>
              <w:t xml:space="preserve"> d</w:t>
            </w:r>
            <w:r w:rsidR="002A02E2">
              <w:rPr>
                <w:rFonts w:ascii="Calibri" w:hAnsi="Calibri" w:cstheme="minorHAnsi"/>
                <w:sz w:val="22"/>
                <w:szCs w:val="22"/>
              </w:rPr>
              <w:t>zień</w:t>
            </w:r>
            <w:r w:rsidR="004A4E1E" w:rsidRPr="00B211F8">
              <w:rPr>
                <w:rFonts w:ascii="Calibri" w:hAnsi="Calibri" w:cstheme="minorHAnsi"/>
                <w:sz w:val="22"/>
                <w:szCs w:val="22"/>
              </w:rPr>
              <w:t xml:space="preserve"> robocz</w:t>
            </w:r>
            <w:r w:rsidR="002A02E2">
              <w:rPr>
                <w:rFonts w:ascii="Calibri" w:hAnsi="Calibri" w:cstheme="minorHAnsi"/>
                <w:sz w:val="22"/>
                <w:szCs w:val="22"/>
              </w:rPr>
              <w:t>y</w:t>
            </w:r>
            <w:r>
              <w:rPr>
                <w:rFonts w:ascii="Calibri" w:hAnsi="Calibri" w:cstheme="minorHAnsi"/>
                <w:sz w:val="22"/>
                <w:szCs w:val="22"/>
              </w:rPr>
              <w:t xml:space="preserve"> – minimalnie 12 godzin</w:t>
            </w:r>
          </w:p>
        </w:tc>
      </w:tr>
      <w:tr w:rsidR="004A4E1E" w:rsidRPr="00B211F8" w14:paraId="25F5B1FC" w14:textId="77777777" w:rsidTr="00DB4DC1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5A3890" w14:textId="77777777" w:rsidR="004A4E1E" w:rsidRPr="00B211F8" w:rsidRDefault="004A4E1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B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38DC42" w14:textId="77777777" w:rsidR="004A4E1E" w:rsidRPr="00B211F8" w:rsidRDefault="004A4E1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1 dzień roboczy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691D7" w14:textId="77777777" w:rsidR="004A4E1E" w:rsidRPr="00B211F8" w:rsidRDefault="004A4E1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5 dni roboczy </w:t>
            </w:r>
          </w:p>
        </w:tc>
      </w:tr>
      <w:tr w:rsidR="004A4E1E" w:rsidRPr="00B211F8" w14:paraId="0A57056F" w14:textId="77777777" w:rsidTr="00DB4DC1">
        <w:trPr>
          <w:trHeight w:val="473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B9D1F5" w14:textId="77777777" w:rsidR="004A4E1E" w:rsidRPr="00B211F8" w:rsidRDefault="004A4E1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C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B893CC" w14:textId="77777777" w:rsidR="004A4E1E" w:rsidRPr="00B211F8" w:rsidRDefault="004A4E1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1 dzień roboczy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0AD340" w14:textId="77777777" w:rsidR="004A4E1E" w:rsidRPr="00B211F8" w:rsidRDefault="004A4E1E" w:rsidP="00B211F8">
            <w:pPr>
              <w:spacing w:line="259" w:lineRule="auto"/>
              <w:rPr>
                <w:rFonts w:ascii="Calibri" w:hAnsi="Calibri" w:cstheme="minorHAnsi"/>
                <w:sz w:val="22"/>
                <w:szCs w:val="22"/>
              </w:rPr>
            </w:pPr>
            <w:r w:rsidRPr="00B211F8">
              <w:rPr>
                <w:rFonts w:ascii="Calibri" w:hAnsi="Calibri" w:cstheme="minorHAnsi"/>
                <w:sz w:val="22"/>
                <w:szCs w:val="22"/>
              </w:rPr>
              <w:t xml:space="preserve">10 dni roboczy </w:t>
            </w:r>
          </w:p>
        </w:tc>
      </w:tr>
    </w:tbl>
    <w:p w14:paraId="47A86A03" w14:textId="77777777" w:rsidR="00F73C1B" w:rsidRDefault="00F73C1B" w:rsidP="00F73C1B">
      <w:pPr>
        <w:suppressAutoHyphens w:val="0"/>
        <w:spacing w:after="21" w:line="271" w:lineRule="auto"/>
        <w:ind w:left="709"/>
        <w:jc w:val="both"/>
        <w:rPr>
          <w:rFonts w:ascii="Calibri" w:hAnsi="Calibri" w:cstheme="minorHAnsi"/>
          <w:sz w:val="22"/>
          <w:szCs w:val="22"/>
        </w:rPr>
      </w:pPr>
    </w:p>
    <w:p w14:paraId="703A3164" w14:textId="0EE022EC" w:rsidR="006F2B23" w:rsidRDefault="004A4E1E" w:rsidP="00DB4DC1">
      <w:pPr>
        <w:numPr>
          <w:ilvl w:val="1"/>
          <w:numId w:val="13"/>
        </w:numPr>
        <w:suppressAutoHyphens w:val="0"/>
        <w:spacing w:after="21" w:line="271" w:lineRule="auto"/>
        <w:ind w:left="709" w:hanging="283"/>
        <w:jc w:val="both"/>
        <w:rPr>
          <w:rFonts w:ascii="Calibri" w:hAnsi="Calibri" w:cstheme="minorHAnsi"/>
          <w:sz w:val="22"/>
          <w:szCs w:val="22"/>
        </w:rPr>
      </w:pPr>
      <w:r w:rsidRPr="00B211F8">
        <w:rPr>
          <w:rFonts w:ascii="Calibri" w:hAnsi="Calibri" w:cstheme="minorHAnsi"/>
          <w:sz w:val="22"/>
          <w:szCs w:val="22"/>
        </w:rPr>
        <w:t xml:space="preserve">Jeżeli Nieprawidłowość dotyczyć będzie oprogramowania dostarczonego, ale nie wytworzonego przez Wykonawcę, terminy realizacji usług będą za każdym razem ustalane z Zamawiającym. </w:t>
      </w:r>
    </w:p>
    <w:p w14:paraId="7812D3B5" w14:textId="0550AC5C" w:rsidR="00C30B16" w:rsidRDefault="00C30B16" w:rsidP="00C30B16">
      <w:pPr>
        <w:suppressAutoHyphens w:val="0"/>
        <w:spacing w:after="21" w:line="271" w:lineRule="auto"/>
        <w:jc w:val="both"/>
        <w:rPr>
          <w:rFonts w:ascii="Calibri" w:hAnsi="Calibri" w:cstheme="minorHAnsi"/>
          <w:sz w:val="22"/>
          <w:szCs w:val="22"/>
        </w:rPr>
      </w:pPr>
    </w:p>
    <w:p w14:paraId="1D777114" w14:textId="561E6899" w:rsidR="00C30B16" w:rsidRDefault="00C30B16" w:rsidP="00C30B16">
      <w:pPr>
        <w:suppressAutoHyphens w:val="0"/>
        <w:spacing w:after="21" w:line="271" w:lineRule="auto"/>
        <w:jc w:val="both"/>
        <w:rPr>
          <w:rFonts w:ascii="Calibri" w:hAnsi="Calibri" w:cstheme="minorHAnsi"/>
          <w:sz w:val="22"/>
          <w:szCs w:val="22"/>
        </w:rPr>
      </w:pPr>
    </w:p>
    <w:p w14:paraId="679F9856" w14:textId="52B94FA5" w:rsidR="00CD5FE6" w:rsidRDefault="00CD5FE6" w:rsidP="00C30B16">
      <w:pPr>
        <w:suppressAutoHyphens w:val="0"/>
        <w:spacing w:after="21" w:line="271" w:lineRule="auto"/>
        <w:jc w:val="both"/>
        <w:rPr>
          <w:rFonts w:ascii="Calibri" w:hAnsi="Calibri" w:cstheme="minorHAnsi"/>
          <w:b/>
          <w:bCs/>
          <w:sz w:val="22"/>
          <w:szCs w:val="22"/>
        </w:rPr>
      </w:pPr>
      <w:r w:rsidRPr="00AC1A19">
        <w:rPr>
          <w:rFonts w:ascii="Calibri" w:hAnsi="Calibri" w:cstheme="minorHAnsi"/>
          <w:b/>
          <w:bCs/>
          <w:sz w:val="22"/>
          <w:szCs w:val="22"/>
        </w:rPr>
        <w:t>GWARANCJA NA SPRZĘT KOMPUTEROWY</w:t>
      </w:r>
      <w:r w:rsidR="00AC1A19">
        <w:rPr>
          <w:rFonts w:ascii="Calibri" w:hAnsi="Calibri" w:cstheme="minorHAnsi"/>
          <w:b/>
          <w:bCs/>
          <w:sz w:val="22"/>
          <w:szCs w:val="22"/>
        </w:rPr>
        <w:t xml:space="preserve"> I DRUKUJĄCY</w:t>
      </w:r>
    </w:p>
    <w:p w14:paraId="2A31456F" w14:textId="044D1954" w:rsidR="00AC1A19" w:rsidRPr="00AC1A19" w:rsidRDefault="00AC1A19" w:rsidP="00AC1A19">
      <w:pPr>
        <w:pStyle w:val="Akapitzlist"/>
        <w:numPr>
          <w:ilvl w:val="0"/>
          <w:numId w:val="14"/>
        </w:numPr>
        <w:suppressAutoHyphens w:val="0"/>
        <w:spacing w:after="21" w:line="271" w:lineRule="auto"/>
        <w:jc w:val="both"/>
        <w:rPr>
          <w:rFonts w:ascii="Calibri" w:hAnsi="Calibri" w:cstheme="minorHAnsi"/>
          <w:sz w:val="22"/>
          <w:szCs w:val="22"/>
        </w:rPr>
      </w:pPr>
      <w:r w:rsidRPr="00AC1A19">
        <w:rPr>
          <w:rFonts w:ascii="Calibri" w:hAnsi="Calibri" w:cstheme="minorHAnsi"/>
          <w:sz w:val="22"/>
          <w:szCs w:val="22"/>
        </w:rPr>
        <w:t xml:space="preserve">Serwis </w:t>
      </w:r>
      <w:r w:rsidR="00B90909">
        <w:rPr>
          <w:rFonts w:ascii="Calibri" w:hAnsi="Calibri" w:cstheme="minorHAnsi"/>
          <w:sz w:val="22"/>
          <w:szCs w:val="22"/>
        </w:rPr>
        <w:t>gwarancyjny</w:t>
      </w:r>
      <w:r w:rsidRPr="00AC1A19">
        <w:rPr>
          <w:rFonts w:ascii="Calibri" w:hAnsi="Calibri" w:cstheme="minorHAnsi"/>
          <w:sz w:val="22"/>
          <w:szCs w:val="22"/>
        </w:rPr>
        <w:t xml:space="preserve"> świadczony </w:t>
      </w:r>
      <w:r w:rsidR="00B90909">
        <w:rPr>
          <w:rFonts w:ascii="Calibri" w:hAnsi="Calibri" w:cstheme="minorHAnsi"/>
          <w:sz w:val="22"/>
          <w:szCs w:val="22"/>
        </w:rPr>
        <w:t xml:space="preserve">będzie w miejscu użytkowania sprzętu </w:t>
      </w:r>
      <w:r w:rsidRPr="00AC1A19">
        <w:rPr>
          <w:rFonts w:ascii="Calibri" w:hAnsi="Calibri" w:cstheme="minorHAnsi"/>
          <w:sz w:val="22"/>
          <w:szCs w:val="22"/>
        </w:rPr>
        <w:t>w siedzibie Zamawiającego</w:t>
      </w:r>
      <w:r w:rsidR="00B90909">
        <w:rPr>
          <w:rFonts w:ascii="Calibri" w:hAnsi="Calibri" w:cstheme="minorHAnsi"/>
          <w:sz w:val="22"/>
          <w:szCs w:val="22"/>
        </w:rPr>
        <w:t>.</w:t>
      </w:r>
      <w:r w:rsidRPr="00AC1A19">
        <w:rPr>
          <w:rFonts w:ascii="Calibri" w:hAnsi="Calibri" w:cstheme="minorHAnsi"/>
          <w:sz w:val="22"/>
          <w:szCs w:val="22"/>
        </w:rPr>
        <w:t xml:space="preserve"> </w:t>
      </w:r>
      <w:r w:rsidR="00B90909">
        <w:rPr>
          <w:rFonts w:ascii="Calibri" w:hAnsi="Calibri" w:cstheme="minorHAnsi"/>
          <w:sz w:val="22"/>
          <w:szCs w:val="22"/>
        </w:rPr>
        <w:t>W sytuacji, gdy konieczne będzie przetransportowanie sprzętu do naprawy w warunkach warsztatowych, Wykonawca wykonana transport na własny koszt oraz poniesie pełną odpowiedzialność za sprzęt w fazie demontażu, transportu, naprawy oraz montażu.</w:t>
      </w:r>
    </w:p>
    <w:p w14:paraId="206C89EA" w14:textId="7A709893" w:rsidR="00AC1A19" w:rsidRDefault="00AC1A19" w:rsidP="00AC1A19">
      <w:pPr>
        <w:pStyle w:val="Akapitzlist"/>
        <w:numPr>
          <w:ilvl w:val="0"/>
          <w:numId w:val="14"/>
        </w:numPr>
        <w:suppressAutoHyphens w:val="0"/>
        <w:spacing w:after="21" w:line="271" w:lineRule="auto"/>
        <w:jc w:val="both"/>
        <w:rPr>
          <w:rFonts w:ascii="Calibri" w:hAnsi="Calibri" w:cstheme="minorHAnsi"/>
          <w:sz w:val="22"/>
          <w:szCs w:val="22"/>
        </w:rPr>
      </w:pPr>
      <w:r w:rsidRPr="00AC1A19">
        <w:rPr>
          <w:rFonts w:ascii="Calibri" w:hAnsi="Calibri" w:cstheme="minorHAnsi"/>
          <w:sz w:val="22"/>
          <w:szCs w:val="22"/>
        </w:rPr>
        <w:t>Czas reakcji serwisu – do końca następnego dnia roboczego od chwili przyjęcia zgłoszenia przez Wykonawcę.</w:t>
      </w:r>
    </w:p>
    <w:p w14:paraId="4C9A2694" w14:textId="38A49E58" w:rsidR="0037695E" w:rsidRDefault="0037695E" w:rsidP="00AC1A19">
      <w:pPr>
        <w:pStyle w:val="Akapitzlist"/>
        <w:numPr>
          <w:ilvl w:val="0"/>
          <w:numId w:val="14"/>
        </w:numPr>
        <w:suppressAutoHyphens w:val="0"/>
        <w:spacing w:after="21" w:line="271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 xml:space="preserve">Zgłaszanie </w:t>
      </w:r>
      <w:r w:rsidR="007D2522">
        <w:rPr>
          <w:rFonts w:ascii="Calibri" w:hAnsi="Calibri" w:cstheme="minorHAnsi"/>
          <w:sz w:val="22"/>
          <w:szCs w:val="22"/>
        </w:rPr>
        <w:t>napraw i usunięcia</w:t>
      </w:r>
      <w:r>
        <w:rPr>
          <w:rFonts w:ascii="Calibri" w:hAnsi="Calibri" w:cstheme="minorHAnsi"/>
          <w:sz w:val="22"/>
          <w:szCs w:val="22"/>
        </w:rPr>
        <w:t xml:space="preserve"> awarii, będzie następować we wszystkie dni robocze w godzinach od 8: do 15:00.  Zgłoszenie  </w:t>
      </w:r>
      <w:r w:rsidR="007D2522">
        <w:rPr>
          <w:rFonts w:ascii="Calibri" w:hAnsi="Calibri" w:cstheme="minorHAnsi"/>
          <w:sz w:val="22"/>
          <w:szCs w:val="22"/>
        </w:rPr>
        <w:t>napraw i usunięcie</w:t>
      </w:r>
      <w:r>
        <w:rPr>
          <w:rFonts w:ascii="Calibri" w:hAnsi="Calibri" w:cstheme="minorHAnsi"/>
          <w:sz w:val="22"/>
          <w:szCs w:val="22"/>
        </w:rPr>
        <w:t xml:space="preserve"> awarii może być dokonane przez portal internetowy Wykonawcy, telefonicznie lub poprzez email.</w:t>
      </w:r>
    </w:p>
    <w:p w14:paraId="1E5B586F" w14:textId="177D814D" w:rsidR="007D2522" w:rsidRPr="00AC1A19" w:rsidRDefault="007D2522" w:rsidP="00AC1A19">
      <w:pPr>
        <w:pStyle w:val="Akapitzlist"/>
        <w:numPr>
          <w:ilvl w:val="0"/>
          <w:numId w:val="14"/>
        </w:numPr>
        <w:suppressAutoHyphens w:val="0"/>
        <w:spacing w:after="21" w:line="271" w:lineRule="auto"/>
        <w:jc w:val="both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Fakt awarii, naprawy i ewentualnie wymiany sprzętu na nowy będzie każdorazowo odnotowany w karcie gwarancyjnej danego sprzętu.</w:t>
      </w:r>
    </w:p>
    <w:p w14:paraId="6A1D152C" w14:textId="77777777" w:rsidR="00AC1A19" w:rsidRDefault="00AC1A19" w:rsidP="004744DF">
      <w:pPr>
        <w:rPr>
          <w:rFonts w:ascii="Calibri" w:hAnsi="Calibri" w:cstheme="majorHAnsi"/>
          <w:sz w:val="22"/>
          <w:szCs w:val="22"/>
        </w:rPr>
      </w:pPr>
    </w:p>
    <w:p w14:paraId="75E4D97A" w14:textId="447225B3" w:rsidR="004744DF" w:rsidRPr="00B211F8" w:rsidRDefault="004744DF" w:rsidP="004744DF">
      <w:pPr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>Szczegółowy opis przedmiotu zamówienia opisany został w następujących załącznikach:</w:t>
      </w:r>
    </w:p>
    <w:p w14:paraId="23A7EE60" w14:textId="26DD30F9" w:rsidR="006545F1" w:rsidRPr="00B211F8" w:rsidRDefault="006545F1" w:rsidP="006545F1">
      <w:pPr>
        <w:numPr>
          <w:ilvl w:val="0"/>
          <w:numId w:val="2"/>
        </w:numPr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 xml:space="preserve">System </w:t>
      </w:r>
      <w:r w:rsidR="008C1B94" w:rsidRPr="00B211F8">
        <w:rPr>
          <w:rFonts w:ascii="Calibri" w:hAnsi="Calibri" w:cstheme="majorHAnsi"/>
          <w:sz w:val="22"/>
          <w:szCs w:val="22"/>
        </w:rPr>
        <w:t>nadzoru telemetrii</w:t>
      </w:r>
      <w:r w:rsidR="008701A7" w:rsidRPr="00B211F8">
        <w:rPr>
          <w:rFonts w:ascii="Calibri" w:hAnsi="Calibri" w:cstheme="majorHAnsi"/>
          <w:sz w:val="22"/>
          <w:szCs w:val="22"/>
        </w:rPr>
        <w:t xml:space="preserve"> wraz z portalem e-usług</w:t>
      </w:r>
      <w:r w:rsidR="008C1B94" w:rsidRPr="00B211F8">
        <w:rPr>
          <w:rFonts w:ascii="Calibri" w:hAnsi="Calibri" w:cstheme="majorHAnsi"/>
          <w:sz w:val="22"/>
          <w:szCs w:val="22"/>
        </w:rPr>
        <w:t xml:space="preserve"> – </w:t>
      </w:r>
      <w:r w:rsidR="008C1B94" w:rsidRPr="00412F4A">
        <w:rPr>
          <w:rFonts w:ascii="Calibri" w:hAnsi="Calibri" w:cstheme="majorHAnsi"/>
          <w:b/>
          <w:bCs/>
          <w:sz w:val="22"/>
          <w:szCs w:val="22"/>
        </w:rPr>
        <w:t>załącznik 3a</w:t>
      </w:r>
    </w:p>
    <w:p w14:paraId="6086E2FC" w14:textId="1E7DECE1" w:rsidR="006545F1" w:rsidRPr="00B211F8" w:rsidRDefault="005B3D75" w:rsidP="006545F1">
      <w:pPr>
        <w:numPr>
          <w:ilvl w:val="0"/>
          <w:numId w:val="2"/>
        </w:numPr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>Wymagania dla wodomierzy</w:t>
      </w:r>
      <w:r w:rsidR="006545F1" w:rsidRPr="00B211F8">
        <w:rPr>
          <w:rFonts w:ascii="Calibri" w:hAnsi="Calibri" w:cstheme="majorHAnsi"/>
          <w:sz w:val="22"/>
          <w:szCs w:val="22"/>
        </w:rPr>
        <w:t xml:space="preserve"> – </w:t>
      </w:r>
      <w:r w:rsidR="006545F1" w:rsidRPr="00412F4A">
        <w:rPr>
          <w:rFonts w:ascii="Calibri" w:hAnsi="Calibri" w:cstheme="majorHAnsi"/>
          <w:b/>
          <w:bCs/>
          <w:sz w:val="22"/>
          <w:szCs w:val="22"/>
        </w:rPr>
        <w:t>załącznik nr 3</w:t>
      </w:r>
      <w:r w:rsidR="00660D3F" w:rsidRPr="00412F4A">
        <w:rPr>
          <w:rFonts w:ascii="Calibri" w:hAnsi="Calibri" w:cstheme="majorHAnsi"/>
          <w:b/>
          <w:bCs/>
          <w:sz w:val="22"/>
          <w:szCs w:val="22"/>
        </w:rPr>
        <w:t>b</w:t>
      </w:r>
    </w:p>
    <w:p w14:paraId="00AD7AC4" w14:textId="193036C8" w:rsidR="00D226E7" w:rsidRPr="00412F4A" w:rsidRDefault="00D226E7" w:rsidP="00412F4A">
      <w:pPr>
        <w:numPr>
          <w:ilvl w:val="0"/>
          <w:numId w:val="2"/>
        </w:numPr>
        <w:jc w:val="both"/>
        <w:rPr>
          <w:rFonts w:ascii="Calibri" w:hAnsi="Calibri" w:cstheme="majorHAnsi"/>
          <w:sz w:val="22"/>
          <w:szCs w:val="22"/>
        </w:rPr>
      </w:pPr>
      <w:r w:rsidRPr="00B211F8">
        <w:rPr>
          <w:rFonts w:ascii="Calibri" w:hAnsi="Calibri" w:cstheme="majorHAnsi"/>
          <w:sz w:val="22"/>
          <w:szCs w:val="22"/>
        </w:rPr>
        <w:t xml:space="preserve">Sprzęt komputerowy – </w:t>
      </w:r>
      <w:r w:rsidRPr="00412F4A">
        <w:rPr>
          <w:rFonts w:ascii="Calibri" w:hAnsi="Calibri" w:cstheme="majorHAnsi"/>
          <w:b/>
          <w:bCs/>
          <w:sz w:val="22"/>
          <w:szCs w:val="22"/>
        </w:rPr>
        <w:t>załącznik nr 3</w:t>
      </w:r>
      <w:r w:rsidR="00E91E0F" w:rsidRPr="00412F4A">
        <w:rPr>
          <w:rFonts w:ascii="Calibri" w:hAnsi="Calibri" w:cstheme="majorHAnsi"/>
          <w:b/>
          <w:bCs/>
          <w:sz w:val="22"/>
          <w:szCs w:val="22"/>
        </w:rPr>
        <w:t>c</w:t>
      </w:r>
    </w:p>
    <w:sectPr w:rsidR="00D226E7" w:rsidRPr="00412F4A" w:rsidSect="00B211F8">
      <w:headerReference w:type="even" r:id="rId8"/>
      <w:headerReference w:type="default" r:id="rId9"/>
      <w:footerReference w:type="even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E6C66A" w14:textId="77777777" w:rsidR="002C07E9" w:rsidRDefault="002C07E9" w:rsidP="004653EB">
      <w:pPr>
        <w:spacing w:line="240" w:lineRule="auto"/>
      </w:pPr>
      <w:r>
        <w:separator/>
      </w:r>
    </w:p>
  </w:endnote>
  <w:endnote w:type="continuationSeparator" w:id="0">
    <w:p w14:paraId="57A41516" w14:textId="77777777" w:rsidR="002C07E9" w:rsidRDefault="002C07E9" w:rsidP="004653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DejaVuSans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B694B" w14:textId="77777777" w:rsidR="00B211F8" w:rsidRDefault="00B211F8" w:rsidP="00D82A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7330FA6" w14:textId="77777777" w:rsidR="00B211F8" w:rsidRDefault="00B211F8" w:rsidP="004653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B9AF10" w14:textId="77777777" w:rsidR="00B211F8" w:rsidRPr="00412F4A" w:rsidRDefault="00B211F8" w:rsidP="00D82A32">
    <w:pPr>
      <w:pStyle w:val="Stopka"/>
      <w:framePr w:wrap="around" w:vAnchor="text" w:hAnchor="margin" w:xAlign="right" w:y="1"/>
      <w:rPr>
        <w:rStyle w:val="Numerstrony"/>
        <w:rFonts w:ascii="Calibri" w:hAnsi="Calibri"/>
        <w:sz w:val="22"/>
        <w:szCs w:val="22"/>
      </w:rPr>
    </w:pPr>
    <w:r w:rsidRPr="00412F4A">
      <w:rPr>
        <w:rStyle w:val="Numerstrony"/>
        <w:rFonts w:ascii="Calibri" w:hAnsi="Calibri"/>
        <w:sz w:val="22"/>
        <w:szCs w:val="22"/>
      </w:rPr>
      <w:fldChar w:fldCharType="begin"/>
    </w:r>
    <w:r w:rsidRPr="00412F4A">
      <w:rPr>
        <w:rStyle w:val="Numerstrony"/>
        <w:rFonts w:ascii="Calibri" w:hAnsi="Calibri"/>
        <w:sz w:val="22"/>
        <w:szCs w:val="22"/>
      </w:rPr>
      <w:instrText xml:space="preserve">PAGE  </w:instrText>
    </w:r>
    <w:r w:rsidRPr="00412F4A">
      <w:rPr>
        <w:rStyle w:val="Numerstrony"/>
        <w:rFonts w:ascii="Calibri" w:hAnsi="Calibri"/>
        <w:sz w:val="22"/>
        <w:szCs w:val="22"/>
      </w:rPr>
      <w:fldChar w:fldCharType="separate"/>
    </w:r>
    <w:r w:rsidRPr="00412F4A">
      <w:rPr>
        <w:rStyle w:val="Numerstrony"/>
        <w:rFonts w:ascii="Calibri" w:hAnsi="Calibri"/>
        <w:noProof/>
        <w:sz w:val="22"/>
        <w:szCs w:val="22"/>
      </w:rPr>
      <w:t>1</w:t>
    </w:r>
    <w:r w:rsidRPr="00412F4A">
      <w:rPr>
        <w:rStyle w:val="Numerstrony"/>
        <w:rFonts w:ascii="Calibri" w:hAnsi="Calibri"/>
        <w:sz w:val="22"/>
        <w:szCs w:val="22"/>
      </w:rPr>
      <w:fldChar w:fldCharType="end"/>
    </w:r>
  </w:p>
  <w:p w14:paraId="1B7DAFBD" w14:textId="77777777" w:rsidR="00B211F8" w:rsidRDefault="00B211F8" w:rsidP="004653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6EC4EB" w14:textId="77777777" w:rsidR="002C07E9" w:rsidRDefault="002C07E9" w:rsidP="004653EB">
      <w:pPr>
        <w:spacing w:line="240" w:lineRule="auto"/>
      </w:pPr>
      <w:r>
        <w:separator/>
      </w:r>
    </w:p>
  </w:footnote>
  <w:footnote w:type="continuationSeparator" w:id="0">
    <w:p w14:paraId="021F386D" w14:textId="77777777" w:rsidR="002C07E9" w:rsidRDefault="002C07E9" w:rsidP="004653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7914"/>
    </w:tblGrid>
    <w:tr w:rsidR="00B211F8" w:rsidRPr="0088634D" w14:paraId="499C75D6" w14:textId="77777777" w:rsidTr="00D82A32">
      <w:tc>
        <w:tcPr>
          <w:tcW w:w="1152" w:type="dxa"/>
        </w:tcPr>
        <w:p w14:paraId="1844F457" w14:textId="77777777" w:rsidR="00B211F8" w:rsidRDefault="00B211F8">
          <w:pPr>
            <w:pStyle w:val="Nagwek"/>
            <w:jc w:val="right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>
            <w:rPr>
              <w:rFonts w:ascii="Cambria" w:hAnsi="Cambria"/>
              <w:noProof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  <w:tc>
        <w:tcPr>
          <w:tcW w:w="0" w:type="auto"/>
          <w:noWrap/>
        </w:tcPr>
        <w:p w14:paraId="285E6D86" w14:textId="77777777" w:rsidR="00B211F8" w:rsidRDefault="00841191">
          <w:pPr>
            <w:pStyle w:val="Nagwek"/>
            <w:rPr>
              <w:rFonts w:ascii="Cambria" w:hAnsi="Cambria"/>
            </w:rPr>
          </w:pPr>
          <w:sdt>
            <w:sdtPr>
              <w:rPr>
                <w:rFonts w:ascii="Cambria" w:hAnsi="Cambria"/>
              </w:rPr>
              <w:id w:val="565049494"/>
              <w:placeholder>
                <w:docPart w:val="9ADEFA346C158340B5DA38FB76CFBB82"/>
              </w:placeholder>
              <w:temporary/>
              <w:showingPlcHdr/>
            </w:sdtPr>
            <w:sdtEndPr/>
            <w:sdtContent>
              <w:r w:rsidR="00B211F8">
                <w:rPr>
                  <w:rFonts w:ascii="Cambria" w:hAnsi="Cambria"/>
                </w:rPr>
                <w:t>[Wpisz tekst]</w:t>
              </w:r>
            </w:sdtContent>
          </w:sdt>
        </w:p>
      </w:tc>
    </w:tr>
  </w:tbl>
  <w:p w14:paraId="12616983" w14:textId="77777777" w:rsidR="00B211F8" w:rsidRDefault="00B211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0D958" w14:textId="0CB195A7" w:rsidR="00B211F8" w:rsidRDefault="00B211F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C6E556" wp14:editId="304E06E6">
          <wp:simplePos x="0" y="0"/>
          <wp:positionH relativeFrom="column">
            <wp:posOffset>317311</wp:posOffset>
          </wp:positionH>
          <wp:positionV relativeFrom="paragraph">
            <wp:posOffset>-271780</wp:posOffset>
          </wp:positionV>
          <wp:extent cx="5760720" cy="575213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7661C72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1143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3DC44B06"/>
    <w:multiLevelType w:val="hybridMultilevel"/>
    <w:tmpl w:val="B37C3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60410"/>
    <w:multiLevelType w:val="hybridMultilevel"/>
    <w:tmpl w:val="0C32455E"/>
    <w:lvl w:ilvl="0" w:tplc="0415000F">
      <w:start w:val="1"/>
      <w:numFmt w:val="decimal"/>
      <w:lvlText w:val="%1."/>
      <w:lvlJc w:val="left"/>
      <w:pPr>
        <w:ind w:left="863" w:hanging="360"/>
      </w:p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3" w15:restartNumberingAfterBreak="0">
    <w:nsid w:val="513529E6"/>
    <w:multiLevelType w:val="hybridMultilevel"/>
    <w:tmpl w:val="536A5FD6"/>
    <w:lvl w:ilvl="0" w:tplc="E7CE84B2">
      <w:start w:val="1"/>
      <w:numFmt w:val="decimal"/>
      <w:lvlText w:val="%1."/>
      <w:lvlJc w:val="left"/>
      <w:pPr>
        <w:ind w:left="1065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71506E7"/>
    <w:multiLevelType w:val="hybridMultilevel"/>
    <w:tmpl w:val="E19CB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05E19"/>
    <w:multiLevelType w:val="hybridMultilevel"/>
    <w:tmpl w:val="E86E5B56"/>
    <w:lvl w:ilvl="0" w:tplc="4FAE17FA">
      <w:start w:val="1"/>
      <w:numFmt w:val="decimal"/>
      <w:lvlText w:val="%1."/>
      <w:lvlJc w:val="left"/>
      <w:pPr>
        <w:ind w:left="705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4EC534">
      <w:start w:val="1"/>
      <w:numFmt w:val="lowerLetter"/>
      <w:lvlText w:val="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5413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E56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3C19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B38F4E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12CBB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58C037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7CA21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23D127A"/>
    <w:multiLevelType w:val="hybridMultilevel"/>
    <w:tmpl w:val="18886CC6"/>
    <w:lvl w:ilvl="0" w:tplc="6592E8BE">
      <w:start w:val="1"/>
      <w:numFmt w:val="upperRoman"/>
      <w:lvlText w:val="%1."/>
      <w:lvlJc w:val="left"/>
      <w:pPr>
        <w:ind w:left="4396" w:hanging="163"/>
        <w:jc w:val="right"/>
      </w:pPr>
      <w:rPr>
        <w:rFonts w:ascii="Arial" w:eastAsia="Arial" w:hAnsi="Arial" w:cs="Arial" w:hint="default"/>
        <w:b/>
        <w:bCs/>
        <w:spacing w:val="-1"/>
        <w:w w:val="125"/>
        <w:sz w:val="16"/>
        <w:szCs w:val="16"/>
      </w:rPr>
    </w:lvl>
    <w:lvl w:ilvl="1" w:tplc="6F34A714">
      <w:numFmt w:val="bullet"/>
      <w:lvlText w:val="•"/>
      <w:lvlJc w:val="left"/>
      <w:pPr>
        <w:ind w:left="4400" w:hanging="163"/>
      </w:pPr>
      <w:rPr>
        <w:rFonts w:hint="default"/>
      </w:rPr>
    </w:lvl>
    <w:lvl w:ilvl="2" w:tplc="58DE94A6">
      <w:numFmt w:val="bullet"/>
      <w:lvlText w:val="•"/>
      <w:lvlJc w:val="left"/>
      <w:pPr>
        <w:ind w:left="5069" w:hanging="163"/>
      </w:pPr>
      <w:rPr>
        <w:rFonts w:hint="default"/>
      </w:rPr>
    </w:lvl>
    <w:lvl w:ilvl="3" w:tplc="3844F142">
      <w:numFmt w:val="bullet"/>
      <w:lvlText w:val="•"/>
      <w:lvlJc w:val="left"/>
      <w:pPr>
        <w:ind w:left="5739" w:hanging="163"/>
      </w:pPr>
      <w:rPr>
        <w:rFonts w:hint="default"/>
      </w:rPr>
    </w:lvl>
    <w:lvl w:ilvl="4" w:tplc="069876FE">
      <w:numFmt w:val="bullet"/>
      <w:lvlText w:val="•"/>
      <w:lvlJc w:val="left"/>
      <w:pPr>
        <w:ind w:left="6408" w:hanging="163"/>
      </w:pPr>
      <w:rPr>
        <w:rFonts w:hint="default"/>
      </w:rPr>
    </w:lvl>
    <w:lvl w:ilvl="5" w:tplc="4C10963A">
      <w:numFmt w:val="bullet"/>
      <w:lvlText w:val="•"/>
      <w:lvlJc w:val="left"/>
      <w:pPr>
        <w:ind w:left="7078" w:hanging="163"/>
      </w:pPr>
      <w:rPr>
        <w:rFonts w:hint="default"/>
      </w:rPr>
    </w:lvl>
    <w:lvl w:ilvl="6" w:tplc="97064F92">
      <w:numFmt w:val="bullet"/>
      <w:lvlText w:val="•"/>
      <w:lvlJc w:val="left"/>
      <w:pPr>
        <w:ind w:left="7747" w:hanging="163"/>
      </w:pPr>
      <w:rPr>
        <w:rFonts w:hint="default"/>
      </w:rPr>
    </w:lvl>
    <w:lvl w:ilvl="7" w:tplc="1ABC1D6A">
      <w:numFmt w:val="bullet"/>
      <w:lvlText w:val="•"/>
      <w:lvlJc w:val="left"/>
      <w:pPr>
        <w:ind w:left="8417" w:hanging="163"/>
      </w:pPr>
      <w:rPr>
        <w:rFonts w:hint="default"/>
      </w:rPr>
    </w:lvl>
    <w:lvl w:ilvl="8" w:tplc="BCA80D46">
      <w:numFmt w:val="bullet"/>
      <w:lvlText w:val="•"/>
      <w:lvlJc w:val="left"/>
      <w:pPr>
        <w:ind w:left="9086" w:hanging="163"/>
      </w:pPr>
      <w:rPr>
        <w:rFonts w:hint="default"/>
      </w:rPr>
    </w:lvl>
  </w:abstractNum>
  <w:abstractNum w:abstractNumId="7" w15:restartNumberingAfterBreak="0">
    <w:nsid w:val="69B35297"/>
    <w:multiLevelType w:val="hybridMultilevel"/>
    <w:tmpl w:val="5AAE5C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209C6"/>
    <w:multiLevelType w:val="hybridMultilevel"/>
    <w:tmpl w:val="093458AE"/>
    <w:lvl w:ilvl="0" w:tplc="22E05972">
      <w:start w:val="1"/>
      <w:numFmt w:val="decimal"/>
      <w:lvlText w:val="%1."/>
      <w:lvlJc w:val="left"/>
      <w:pPr>
        <w:ind w:left="705"/>
      </w:pPr>
      <w:rPr>
        <w:rFonts w:ascii="Calibri" w:eastAsia="Times New Roman" w:hAnsi="Calibr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18EC8E">
      <w:start w:val="1"/>
      <w:numFmt w:val="lowerLetter"/>
      <w:lvlText w:val="%2."/>
      <w:lvlJc w:val="left"/>
      <w:pPr>
        <w:ind w:left="1440"/>
      </w:pPr>
      <w:rPr>
        <w:rFonts w:ascii="Calibri" w:eastAsia="Times New Roman" w:hAnsi="Calibr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02832A">
      <w:start w:val="1"/>
      <w:numFmt w:val="lowerRoman"/>
      <w:lvlText w:val="%3."/>
      <w:lvlJc w:val="left"/>
      <w:pPr>
        <w:ind w:left="2192"/>
      </w:pPr>
      <w:rPr>
        <w:rFonts w:ascii="Calibri" w:eastAsia="Times New Roman" w:hAnsi="Calibr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96E68A">
      <w:start w:val="1"/>
      <w:numFmt w:val="decimal"/>
      <w:lvlText w:val="%4"/>
      <w:lvlJc w:val="left"/>
      <w:pPr>
        <w:ind w:left="2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303B10">
      <w:start w:val="1"/>
      <w:numFmt w:val="lowerLetter"/>
      <w:lvlText w:val="%5"/>
      <w:lvlJc w:val="left"/>
      <w:pPr>
        <w:ind w:left="3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AEB872">
      <w:start w:val="1"/>
      <w:numFmt w:val="lowerRoman"/>
      <w:lvlText w:val="%6"/>
      <w:lvlJc w:val="left"/>
      <w:pPr>
        <w:ind w:left="4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C096BC">
      <w:start w:val="1"/>
      <w:numFmt w:val="decimal"/>
      <w:lvlText w:val="%7"/>
      <w:lvlJc w:val="left"/>
      <w:pPr>
        <w:ind w:left="4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CEED9A">
      <w:start w:val="1"/>
      <w:numFmt w:val="lowerLetter"/>
      <w:lvlText w:val="%8"/>
      <w:lvlJc w:val="left"/>
      <w:pPr>
        <w:ind w:left="5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5EC75AA">
      <w:start w:val="1"/>
      <w:numFmt w:val="lowerRoman"/>
      <w:lvlText w:val="%9"/>
      <w:lvlJc w:val="left"/>
      <w:pPr>
        <w:ind w:left="6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CA53313"/>
    <w:multiLevelType w:val="hybridMultilevel"/>
    <w:tmpl w:val="9454C260"/>
    <w:lvl w:ilvl="0" w:tplc="96A83A3C">
      <w:start w:val="1"/>
      <w:numFmt w:val="upperLetter"/>
      <w:lvlText w:val="%1."/>
      <w:lvlJc w:val="left"/>
      <w:pPr>
        <w:ind w:left="333" w:hanging="223"/>
      </w:pPr>
      <w:rPr>
        <w:rFonts w:ascii="Calibri" w:eastAsia="Arial" w:hAnsi="Calibri" w:cs="Arial" w:hint="default"/>
        <w:b/>
        <w:bCs/>
        <w:spacing w:val="-1"/>
        <w:w w:val="107"/>
        <w:sz w:val="22"/>
        <w:szCs w:val="22"/>
      </w:rPr>
    </w:lvl>
    <w:lvl w:ilvl="1" w:tplc="B0CC2C78">
      <w:numFmt w:val="bullet"/>
      <w:lvlText w:val="•"/>
      <w:lvlJc w:val="left"/>
      <w:pPr>
        <w:ind w:left="1348" w:hanging="223"/>
      </w:pPr>
      <w:rPr>
        <w:rFonts w:hint="default"/>
      </w:rPr>
    </w:lvl>
    <w:lvl w:ilvl="2" w:tplc="82C098AC">
      <w:numFmt w:val="bullet"/>
      <w:lvlText w:val="•"/>
      <w:lvlJc w:val="left"/>
      <w:pPr>
        <w:ind w:left="2357" w:hanging="223"/>
      </w:pPr>
      <w:rPr>
        <w:rFonts w:hint="default"/>
      </w:rPr>
    </w:lvl>
    <w:lvl w:ilvl="3" w:tplc="6C7EA970">
      <w:numFmt w:val="bullet"/>
      <w:lvlText w:val="•"/>
      <w:lvlJc w:val="left"/>
      <w:pPr>
        <w:ind w:left="3365" w:hanging="223"/>
      </w:pPr>
      <w:rPr>
        <w:rFonts w:hint="default"/>
      </w:rPr>
    </w:lvl>
    <w:lvl w:ilvl="4" w:tplc="D436CD14">
      <w:numFmt w:val="bullet"/>
      <w:lvlText w:val="•"/>
      <w:lvlJc w:val="left"/>
      <w:pPr>
        <w:ind w:left="4374" w:hanging="223"/>
      </w:pPr>
      <w:rPr>
        <w:rFonts w:hint="default"/>
      </w:rPr>
    </w:lvl>
    <w:lvl w:ilvl="5" w:tplc="229AE9A0">
      <w:numFmt w:val="bullet"/>
      <w:lvlText w:val="•"/>
      <w:lvlJc w:val="left"/>
      <w:pPr>
        <w:ind w:left="5382" w:hanging="223"/>
      </w:pPr>
      <w:rPr>
        <w:rFonts w:hint="default"/>
      </w:rPr>
    </w:lvl>
    <w:lvl w:ilvl="6" w:tplc="30769F78">
      <w:numFmt w:val="bullet"/>
      <w:lvlText w:val="•"/>
      <w:lvlJc w:val="left"/>
      <w:pPr>
        <w:ind w:left="6391" w:hanging="223"/>
      </w:pPr>
      <w:rPr>
        <w:rFonts w:hint="default"/>
      </w:rPr>
    </w:lvl>
    <w:lvl w:ilvl="7" w:tplc="427AA072">
      <w:numFmt w:val="bullet"/>
      <w:lvlText w:val="•"/>
      <w:lvlJc w:val="left"/>
      <w:pPr>
        <w:ind w:left="7399" w:hanging="223"/>
      </w:pPr>
      <w:rPr>
        <w:rFonts w:hint="default"/>
      </w:rPr>
    </w:lvl>
    <w:lvl w:ilvl="8" w:tplc="BE38EB7E">
      <w:numFmt w:val="bullet"/>
      <w:lvlText w:val="•"/>
      <w:lvlJc w:val="left"/>
      <w:pPr>
        <w:ind w:left="8408" w:hanging="223"/>
      </w:pPr>
      <w:rPr>
        <w:rFonts w:hint="default"/>
      </w:rPr>
    </w:lvl>
  </w:abstractNum>
  <w:abstractNum w:abstractNumId="10" w15:restartNumberingAfterBreak="0">
    <w:nsid w:val="71EE0133"/>
    <w:multiLevelType w:val="hybridMultilevel"/>
    <w:tmpl w:val="152EC384"/>
    <w:lvl w:ilvl="0" w:tplc="3744BDA4">
      <w:start w:val="1"/>
      <w:numFmt w:val="upperLetter"/>
      <w:lvlText w:val="%1."/>
      <w:lvlJc w:val="left"/>
      <w:pPr>
        <w:ind w:left="333" w:hanging="223"/>
      </w:pPr>
      <w:rPr>
        <w:rFonts w:ascii="Arial" w:eastAsia="Arial" w:hAnsi="Arial" w:cs="Arial" w:hint="default"/>
        <w:b/>
        <w:bCs/>
        <w:spacing w:val="-1"/>
        <w:w w:val="107"/>
        <w:sz w:val="16"/>
        <w:szCs w:val="16"/>
      </w:rPr>
    </w:lvl>
    <w:lvl w:ilvl="1" w:tplc="B0CC2C78">
      <w:numFmt w:val="bullet"/>
      <w:lvlText w:val="•"/>
      <w:lvlJc w:val="left"/>
      <w:pPr>
        <w:ind w:left="1348" w:hanging="223"/>
      </w:pPr>
      <w:rPr>
        <w:rFonts w:hint="default"/>
      </w:rPr>
    </w:lvl>
    <w:lvl w:ilvl="2" w:tplc="82C098AC">
      <w:numFmt w:val="bullet"/>
      <w:lvlText w:val="•"/>
      <w:lvlJc w:val="left"/>
      <w:pPr>
        <w:ind w:left="2357" w:hanging="223"/>
      </w:pPr>
      <w:rPr>
        <w:rFonts w:hint="default"/>
      </w:rPr>
    </w:lvl>
    <w:lvl w:ilvl="3" w:tplc="6C7EA970">
      <w:numFmt w:val="bullet"/>
      <w:lvlText w:val="•"/>
      <w:lvlJc w:val="left"/>
      <w:pPr>
        <w:ind w:left="3365" w:hanging="223"/>
      </w:pPr>
      <w:rPr>
        <w:rFonts w:hint="default"/>
      </w:rPr>
    </w:lvl>
    <w:lvl w:ilvl="4" w:tplc="D436CD14">
      <w:numFmt w:val="bullet"/>
      <w:lvlText w:val="•"/>
      <w:lvlJc w:val="left"/>
      <w:pPr>
        <w:ind w:left="4374" w:hanging="223"/>
      </w:pPr>
      <w:rPr>
        <w:rFonts w:hint="default"/>
      </w:rPr>
    </w:lvl>
    <w:lvl w:ilvl="5" w:tplc="229AE9A0">
      <w:numFmt w:val="bullet"/>
      <w:lvlText w:val="•"/>
      <w:lvlJc w:val="left"/>
      <w:pPr>
        <w:ind w:left="5382" w:hanging="223"/>
      </w:pPr>
      <w:rPr>
        <w:rFonts w:hint="default"/>
      </w:rPr>
    </w:lvl>
    <w:lvl w:ilvl="6" w:tplc="30769F78">
      <w:numFmt w:val="bullet"/>
      <w:lvlText w:val="•"/>
      <w:lvlJc w:val="left"/>
      <w:pPr>
        <w:ind w:left="6391" w:hanging="223"/>
      </w:pPr>
      <w:rPr>
        <w:rFonts w:hint="default"/>
      </w:rPr>
    </w:lvl>
    <w:lvl w:ilvl="7" w:tplc="427AA072">
      <w:numFmt w:val="bullet"/>
      <w:lvlText w:val="•"/>
      <w:lvlJc w:val="left"/>
      <w:pPr>
        <w:ind w:left="7399" w:hanging="223"/>
      </w:pPr>
      <w:rPr>
        <w:rFonts w:hint="default"/>
      </w:rPr>
    </w:lvl>
    <w:lvl w:ilvl="8" w:tplc="BE38EB7E">
      <w:numFmt w:val="bullet"/>
      <w:lvlText w:val="•"/>
      <w:lvlJc w:val="left"/>
      <w:pPr>
        <w:ind w:left="8408" w:hanging="223"/>
      </w:pPr>
      <w:rPr>
        <w:rFonts w:hint="default"/>
      </w:rPr>
    </w:lvl>
  </w:abstractNum>
  <w:abstractNum w:abstractNumId="11" w15:restartNumberingAfterBreak="0">
    <w:nsid w:val="756E4FBF"/>
    <w:multiLevelType w:val="hybridMultilevel"/>
    <w:tmpl w:val="1EC82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46BE8"/>
    <w:multiLevelType w:val="hybridMultilevel"/>
    <w:tmpl w:val="F6BEA1C6"/>
    <w:lvl w:ilvl="0" w:tplc="B4ACA772">
      <w:numFmt w:val="bullet"/>
      <w:lvlText w:val="•"/>
      <w:lvlJc w:val="left"/>
      <w:pPr>
        <w:ind w:left="30" w:hanging="135"/>
      </w:pPr>
      <w:rPr>
        <w:rFonts w:ascii="Arial Unicode MS" w:eastAsia="Arial Unicode MS" w:hAnsi="Arial Unicode MS" w:cs="Arial Unicode MS" w:hint="default"/>
        <w:w w:val="156"/>
        <w:sz w:val="16"/>
        <w:szCs w:val="16"/>
      </w:rPr>
    </w:lvl>
    <w:lvl w:ilvl="1" w:tplc="3C2E3E82">
      <w:numFmt w:val="bullet"/>
      <w:lvlText w:val="•"/>
      <w:lvlJc w:val="left"/>
      <w:pPr>
        <w:ind w:left="575" w:hanging="135"/>
      </w:pPr>
      <w:rPr>
        <w:rFonts w:hint="default"/>
      </w:rPr>
    </w:lvl>
    <w:lvl w:ilvl="2" w:tplc="7F6CED7C">
      <w:numFmt w:val="bullet"/>
      <w:lvlText w:val="•"/>
      <w:lvlJc w:val="left"/>
      <w:pPr>
        <w:ind w:left="1110" w:hanging="135"/>
      </w:pPr>
      <w:rPr>
        <w:rFonts w:hint="default"/>
      </w:rPr>
    </w:lvl>
    <w:lvl w:ilvl="3" w:tplc="5F188C2E">
      <w:numFmt w:val="bullet"/>
      <w:lvlText w:val="•"/>
      <w:lvlJc w:val="left"/>
      <w:pPr>
        <w:ind w:left="1645" w:hanging="135"/>
      </w:pPr>
      <w:rPr>
        <w:rFonts w:hint="default"/>
      </w:rPr>
    </w:lvl>
    <w:lvl w:ilvl="4" w:tplc="351AAB4C">
      <w:numFmt w:val="bullet"/>
      <w:lvlText w:val="•"/>
      <w:lvlJc w:val="left"/>
      <w:pPr>
        <w:ind w:left="2180" w:hanging="135"/>
      </w:pPr>
      <w:rPr>
        <w:rFonts w:hint="default"/>
      </w:rPr>
    </w:lvl>
    <w:lvl w:ilvl="5" w:tplc="0D8870E0">
      <w:numFmt w:val="bullet"/>
      <w:lvlText w:val="•"/>
      <w:lvlJc w:val="left"/>
      <w:pPr>
        <w:ind w:left="2715" w:hanging="135"/>
      </w:pPr>
      <w:rPr>
        <w:rFonts w:hint="default"/>
      </w:rPr>
    </w:lvl>
    <w:lvl w:ilvl="6" w:tplc="CE0C4150">
      <w:numFmt w:val="bullet"/>
      <w:lvlText w:val="•"/>
      <w:lvlJc w:val="left"/>
      <w:pPr>
        <w:ind w:left="3250" w:hanging="135"/>
      </w:pPr>
      <w:rPr>
        <w:rFonts w:hint="default"/>
      </w:rPr>
    </w:lvl>
    <w:lvl w:ilvl="7" w:tplc="001EC46A">
      <w:numFmt w:val="bullet"/>
      <w:lvlText w:val="•"/>
      <w:lvlJc w:val="left"/>
      <w:pPr>
        <w:ind w:left="3785" w:hanging="135"/>
      </w:pPr>
      <w:rPr>
        <w:rFonts w:hint="default"/>
      </w:rPr>
    </w:lvl>
    <w:lvl w:ilvl="8" w:tplc="97ECE432">
      <w:numFmt w:val="bullet"/>
      <w:lvlText w:val="•"/>
      <w:lvlJc w:val="left"/>
      <w:pPr>
        <w:ind w:left="4320" w:hanging="135"/>
      </w:pPr>
      <w:rPr>
        <w:rFonts w:hint="default"/>
      </w:rPr>
    </w:lvl>
  </w:abstractNum>
  <w:abstractNum w:abstractNumId="13" w15:restartNumberingAfterBreak="0">
    <w:nsid w:val="7AAF655D"/>
    <w:multiLevelType w:val="hybridMultilevel"/>
    <w:tmpl w:val="71484E66"/>
    <w:lvl w:ilvl="0" w:tplc="ADC256C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12"/>
  </w:num>
  <w:num w:numId="5">
    <w:abstractNumId w:val="9"/>
  </w:num>
  <w:num w:numId="6">
    <w:abstractNumId w:val="6"/>
  </w:num>
  <w:num w:numId="7">
    <w:abstractNumId w:val="10"/>
  </w:num>
  <w:num w:numId="8">
    <w:abstractNumId w:val="5"/>
  </w:num>
  <w:num w:numId="9">
    <w:abstractNumId w:val="8"/>
  </w:num>
  <w:num w:numId="10">
    <w:abstractNumId w:val="11"/>
  </w:num>
  <w:num w:numId="11">
    <w:abstractNumId w:val="2"/>
  </w:num>
  <w:num w:numId="12">
    <w:abstractNumId w:val="13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4DF"/>
    <w:rsid w:val="000408E1"/>
    <w:rsid w:val="000F5F7E"/>
    <w:rsid w:val="00111B43"/>
    <w:rsid w:val="00162487"/>
    <w:rsid w:val="001727BB"/>
    <w:rsid w:val="00175A2C"/>
    <w:rsid w:val="00192D9F"/>
    <w:rsid w:val="001C0EB5"/>
    <w:rsid w:val="00221729"/>
    <w:rsid w:val="002517F5"/>
    <w:rsid w:val="002A02E2"/>
    <w:rsid w:val="002B4F85"/>
    <w:rsid w:val="002C07E9"/>
    <w:rsid w:val="002D7DA3"/>
    <w:rsid w:val="00373350"/>
    <w:rsid w:val="0037695E"/>
    <w:rsid w:val="0038786F"/>
    <w:rsid w:val="003B25AA"/>
    <w:rsid w:val="003B640B"/>
    <w:rsid w:val="003C3C8D"/>
    <w:rsid w:val="003D50A8"/>
    <w:rsid w:val="003E76E3"/>
    <w:rsid w:val="003F078A"/>
    <w:rsid w:val="00412F4A"/>
    <w:rsid w:val="0043408C"/>
    <w:rsid w:val="00462E6B"/>
    <w:rsid w:val="004653EB"/>
    <w:rsid w:val="004744DF"/>
    <w:rsid w:val="004952F4"/>
    <w:rsid w:val="004A4E1E"/>
    <w:rsid w:val="004E6058"/>
    <w:rsid w:val="00574B77"/>
    <w:rsid w:val="005B3D75"/>
    <w:rsid w:val="005C4DEC"/>
    <w:rsid w:val="00621882"/>
    <w:rsid w:val="006545F1"/>
    <w:rsid w:val="00660D3F"/>
    <w:rsid w:val="00680A8E"/>
    <w:rsid w:val="00684D79"/>
    <w:rsid w:val="006863B9"/>
    <w:rsid w:val="006A3BA0"/>
    <w:rsid w:val="006D0D21"/>
    <w:rsid w:val="006D4142"/>
    <w:rsid w:val="006D43BE"/>
    <w:rsid w:val="006E059D"/>
    <w:rsid w:val="006F2B23"/>
    <w:rsid w:val="006F2C0A"/>
    <w:rsid w:val="00732648"/>
    <w:rsid w:val="007360C2"/>
    <w:rsid w:val="00792563"/>
    <w:rsid w:val="007D2522"/>
    <w:rsid w:val="007F624E"/>
    <w:rsid w:val="00825BD5"/>
    <w:rsid w:val="00841191"/>
    <w:rsid w:val="008503C6"/>
    <w:rsid w:val="008701A7"/>
    <w:rsid w:val="008C1B94"/>
    <w:rsid w:val="0091001A"/>
    <w:rsid w:val="00913238"/>
    <w:rsid w:val="009531A8"/>
    <w:rsid w:val="00954AC4"/>
    <w:rsid w:val="00984FBA"/>
    <w:rsid w:val="009862D0"/>
    <w:rsid w:val="009A594E"/>
    <w:rsid w:val="009E4BC5"/>
    <w:rsid w:val="009F11BC"/>
    <w:rsid w:val="00A84697"/>
    <w:rsid w:val="00A95A95"/>
    <w:rsid w:val="00AC1A19"/>
    <w:rsid w:val="00AF1C4B"/>
    <w:rsid w:val="00B10489"/>
    <w:rsid w:val="00B211F8"/>
    <w:rsid w:val="00B631B3"/>
    <w:rsid w:val="00B90909"/>
    <w:rsid w:val="00BA0A8A"/>
    <w:rsid w:val="00BB49CB"/>
    <w:rsid w:val="00BE6498"/>
    <w:rsid w:val="00C30B16"/>
    <w:rsid w:val="00C42818"/>
    <w:rsid w:val="00C539F7"/>
    <w:rsid w:val="00CC0B30"/>
    <w:rsid w:val="00CD2765"/>
    <w:rsid w:val="00CD5FE6"/>
    <w:rsid w:val="00CE4C30"/>
    <w:rsid w:val="00D226E7"/>
    <w:rsid w:val="00D82A32"/>
    <w:rsid w:val="00D862F7"/>
    <w:rsid w:val="00DB4DC1"/>
    <w:rsid w:val="00DD698B"/>
    <w:rsid w:val="00DF006D"/>
    <w:rsid w:val="00DF5E58"/>
    <w:rsid w:val="00E15181"/>
    <w:rsid w:val="00E40297"/>
    <w:rsid w:val="00E5178C"/>
    <w:rsid w:val="00E75187"/>
    <w:rsid w:val="00E8604B"/>
    <w:rsid w:val="00E91E0F"/>
    <w:rsid w:val="00E959BC"/>
    <w:rsid w:val="00EB0544"/>
    <w:rsid w:val="00EB7B9E"/>
    <w:rsid w:val="00EC3A2F"/>
    <w:rsid w:val="00EF4736"/>
    <w:rsid w:val="00F05E09"/>
    <w:rsid w:val="00F1018D"/>
    <w:rsid w:val="00F17D8F"/>
    <w:rsid w:val="00F377F8"/>
    <w:rsid w:val="00F56F1F"/>
    <w:rsid w:val="00F617FC"/>
    <w:rsid w:val="00F73C1B"/>
    <w:rsid w:val="00F754E7"/>
    <w:rsid w:val="00F90E6A"/>
    <w:rsid w:val="00FD5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0FABE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44DF"/>
    <w:pPr>
      <w:suppressAutoHyphens/>
      <w:spacing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44DF"/>
    <w:pPr>
      <w:keepNext/>
      <w:numPr>
        <w:numId w:val="1"/>
      </w:num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 PL" w:hAnsi="Arial PL"/>
      <w:color w:val="2E74B5"/>
      <w:kern w:val="28"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4744DF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Nagwek3">
    <w:name w:val="heading 3"/>
    <w:basedOn w:val="Normalny"/>
    <w:next w:val="Normalny"/>
    <w:link w:val="Nagwek3Znak"/>
    <w:qFormat/>
    <w:rsid w:val="004744DF"/>
    <w:pPr>
      <w:keepNext/>
      <w:numPr>
        <w:ilvl w:val="2"/>
        <w:numId w:val="1"/>
      </w:numPr>
      <w:jc w:val="both"/>
      <w:outlineLvl w:val="2"/>
    </w:pPr>
    <w:rPr>
      <w:rFonts w:ascii="Arial" w:hAnsi="Arial"/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4744D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4744DF"/>
    <w:pPr>
      <w:keepNext/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744DF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4744DF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744D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744DF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44DF"/>
    <w:rPr>
      <w:rFonts w:ascii="Arial PL" w:eastAsia="Times New Roman" w:hAnsi="Arial PL" w:cs="Times New Roman"/>
      <w:color w:val="2E74B5"/>
      <w:kern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744DF"/>
    <w:rPr>
      <w:rFonts w:ascii="Arial" w:eastAsia="Times New Roman" w:hAnsi="Arial" w:cs="Times New Roman"/>
      <w:sz w:val="22"/>
      <w:szCs w:val="20"/>
    </w:rPr>
  </w:style>
  <w:style w:type="character" w:customStyle="1" w:styleId="Nagwek3Znak">
    <w:name w:val="Nagłówek 3 Znak"/>
    <w:basedOn w:val="Domylnaczcionkaakapitu"/>
    <w:link w:val="Nagwek3"/>
    <w:rsid w:val="004744DF"/>
    <w:rPr>
      <w:rFonts w:ascii="Arial" w:eastAsia="Times New Roman" w:hAnsi="Arial" w:cs="Times New Roman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4744D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4744DF"/>
    <w:rPr>
      <w:rFonts w:ascii="Arial" w:eastAsia="Times New Roman" w:hAnsi="Arial" w:cs="Times New Roman"/>
      <w:b/>
      <w:sz w:val="28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744DF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4744DF"/>
    <w:rPr>
      <w:rFonts w:ascii="Calibri" w:eastAsia="Times New Roman" w:hAnsi="Calibri" w:cs="Times New Roman"/>
    </w:rPr>
  </w:style>
  <w:style w:type="character" w:customStyle="1" w:styleId="Nagwek8Znak">
    <w:name w:val="Nagłówek 8 Znak"/>
    <w:basedOn w:val="Domylnaczcionkaakapitu"/>
    <w:link w:val="Nagwek8"/>
    <w:semiHidden/>
    <w:rsid w:val="004744DF"/>
    <w:rPr>
      <w:rFonts w:ascii="Calibri" w:eastAsia="Times New Roman" w:hAnsi="Calibri" w:cs="Times New Roman"/>
      <w:i/>
      <w:iCs/>
    </w:rPr>
  </w:style>
  <w:style w:type="character" w:customStyle="1" w:styleId="Nagwek9Znak">
    <w:name w:val="Nagłówek 9 Znak"/>
    <w:basedOn w:val="Domylnaczcionkaakapitu"/>
    <w:link w:val="Nagwek9"/>
    <w:semiHidden/>
    <w:rsid w:val="004744DF"/>
    <w:rPr>
      <w:rFonts w:ascii="Calibri Light" w:eastAsia="Times New Roman" w:hAnsi="Calibri Light" w:cs="Times New Roman"/>
      <w:sz w:val="22"/>
      <w:szCs w:val="22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1"/>
    <w:qFormat/>
    <w:rsid w:val="004744DF"/>
    <w:pPr>
      <w:ind w:left="708"/>
    </w:p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4744DF"/>
    <w:rPr>
      <w:rFonts w:ascii="Times New Roman" w:eastAsia="Times New Roman" w:hAnsi="Times New Roman" w:cs="Times New Roman"/>
      <w:sz w:val="20"/>
      <w:szCs w:val="20"/>
    </w:rPr>
  </w:style>
  <w:style w:type="paragraph" w:customStyle="1" w:styleId="Standard">
    <w:name w:val="Standard"/>
    <w:rsid w:val="004744DF"/>
    <w:pPr>
      <w:suppressAutoHyphens/>
      <w:autoSpaceDN w:val="0"/>
      <w:spacing w:after="160" w:line="259" w:lineRule="auto"/>
      <w:textAlignment w:val="baseline"/>
    </w:pPr>
    <w:rPr>
      <w:rFonts w:ascii="Times New Roman" w:eastAsia="Lucida Sans Unicode" w:hAnsi="Times New Roman" w:cs="Mangal"/>
      <w:kern w:val="3"/>
      <w:sz w:val="22"/>
      <w:szCs w:val="22"/>
      <w:lang w:eastAsia="en-US" w:bidi="hi-IN"/>
    </w:rPr>
  </w:style>
  <w:style w:type="paragraph" w:customStyle="1" w:styleId="WW-Domylnie">
    <w:name w:val="WW-Domyślnie"/>
    <w:rsid w:val="004744DF"/>
    <w:pPr>
      <w:suppressAutoHyphens/>
      <w:autoSpaceDN w:val="0"/>
      <w:textAlignment w:val="baseline"/>
    </w:pPr>
    <w:rPr>
      <w:rFonts w:ascii="Times New Roman" w:eastAsia="Arial" w:hAnsi="Times New Roman" w:cs="Times New Roman"/>
      <w:kern w:val="3"/>
      <w:szCs w:val="20"/>
      <w:lang w:val="en-US" w:eastAsia="zh-CN"/>
    </w:rPr>
  </w:style>
  <w:style w:type="table" w:customStyle="1" w:styleId="Tabelasiatki5ciemna1">
    <w:name w:val="Tabela siatki 5 — ciemna1"/>
    <w:basedOn w:val="Standardowy"/>
    <w:uiPriority w:val="50"/>
    <w:rsid w:val="004744DF"/>
    <w:rPr>
      <w:rFonts w:ascii="Segoe UI" w:hAnsi="Segoe UI"/>
      <w:sz w:val="16"/>
      <w:szCs w:val="20"/>
      <w:lang w:eastAsia="en-US"/>
    </w:rPr>
    <w:tblPr>
      <w:tblStyleRowBandSize w:val="1"/>
      <w:tblStyleColBandSize w:val="1"/>
      <w:jc w:val="center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17" w:type="dxa"/>
        <w:bottom w:w="17" w:type="dxa"/>
      </w:tblCellMar>
    </w:tblPr>
    <w:trPr>
      <w:jc w:val="center"/>
    </w:tr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customStyle="1" w:styleId="TABELE">
    <w:name w:val="TABELE"/>
    <w:basedOn w:val="Normalny"/>
    <w:link w:val="TABELEZnak"/>
    <w:qFormat/>
    <w:rsid w:val="004744DF"/>
    <w:pPr>
      <w:suppressAutoHyphens w:val="0"/>
      <w:spacing w:line="240" w:lineRule="auto"/>
    </w:pPr>
    <w:rPr>
      <w:rFonts w:ascii="Tw Cen MT" w:eastAsiaTheme="minorEastAsia" w:hAnsi="Tw Cen MT" w:cstheme="minorHAnsi"/>
      <w:sz w:val="16"/>
      <w:szCs w:val="16"/>
      <w:lang w:eastAsia="en-US"/>
    </w:rPr>
  </w:style>
  <w:style w:type="character" w:customStyle="1" w:styleId="TABELEZnak">
    <w:name w:val="TABELE Znak"/>
    <w:basedOn w:val="Domylnaczcionkaakapitu"/>
    <w:link w:val="TABELE"/>
    <w:rsid w:val="004744DF"/>
    <w:rPr>
      <w:rFonts w:ascii="Tw Cen MT" w:hAnsi="Tw Cen MT" w:cstheme="minorHAnsi"/>
      <w:sz w:val="16"/>
      <w:szCs w:val="16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653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3EB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4653EB"/>
  </w:style>
  <w:style w:type="paragraph" w:styleId="Nagwek">
    <w:name w:val="header"/>
    <w:basedOn w:val="Normalny"/>
    <w:link w:val="NagwekZnak"/>
    <w:uiPriority w:val="99"/>
    <w:unhideWhenUsed/>
    <w:rsid w:val="004653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3EB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uiPriority w:val="99"/>
    <w:rsid w:val="004653EB"/>
    <w:pPr>
      <w:widowControl w:val="0"/>
      <w:suppressAutoHyphens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5">
    <w:name w:val="Font Style25"/>
    <w:uiPriority w:val="99"/>
    <w:rsid w:val="004653EB"/>
    <w:rPr>
      <w:rFonts w:ascii="Tahoma" w:hAnsi="Tahoma" w:cs="Tahoma"/>
      <w:b/>
      <w:bCs/>
      <w:sz w:val="18"/>
      <w:szCs w:val="18"/>
    </w:rPr>
  </w:style>
  <w:style w:type="table" w:styleId="Tabela-Siatka">
    <w:name w:val="Table Grid"/>
    <w:basedOn w:val="Standardowy"/>
    <w:uiPriority w:val="59"/>
    <w:rsid w:val="009F11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F2B23"/>
    <w:pPr>
      <w:widowControl w:val="0"/>
      <w:autoSpaceDE w:val="0"/>
      <w:autoSpaceDN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F2B23"/>
    <w:pPr>
      <w:widowControl w:val="0"/>
      <w:suppressAutoHyphens w:val="0"/>
      <w:autoSpaceDE w:val="0"/>
      <w:autoSpaceDN w:val="0"/>
      <w:spacing w:before="7" w:line="240" w:lineRule="auto"/>
    </w:pPr>
    <w:rPr>
      <w:rFonts w:ascii="Arial Unicode MS" w:eastAsia="Arial Unicode MS" w:hAnsi="Arial Unicode MS" w:cs="Arial Unicode MS"/>
      <w:sz w:val="16"/>
      <w:szCs w:val="16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F2B23"/>
    <w:rPr>
      <w:rFonts w:ascii="Arial Unicode MS" w:eastAsia="Arial Unicode MS" w:hAnsi="Arial Unicode MS" w:cs="Arial Unicode MS"/>
      <w:sz w:val="16"/>
      <w:szCs w:val="16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6F2B23"/>
    <w:pPr>
      <w:widowControl w:val="0"/>
      <w:suppressAutoHyphens w:val="0"/>
      <w:autoSpaceDE w:val="0"/>
      <w:autoSpaceDN w:val="0"/>
      <w:spacing w:before="13" w:line="240" w:lineRule="auto"/>
      <w:ind w:left="30"/>
    </w:pPr>
    <w:rPr>
      <w:rFonts w:ascii="Arial Unicode MS" w:eastAsia="Arial Unicode MS" w:hAnsi="Arial Unicode MS" w:cs="Arial Unicode MS"/>
      <w:sz w:val="22"/>
      <w:szCs w:val="22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0D3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0D3F"/>
    <w:rPr>
      <w:rFonts w:ascii="Segoe UI" w:eastAsia="Times New Roman" w:hAnsi="Segoe UI" w:cs="Segoe UI"/>
      <w:sz w:val="18"/>
      <w:szCs w:val="18"/>
    </w:rPr>
  </w:style>
  <w:style w:type="table" w:customStyle="1" w:styleId="TableGrid">
    <w:name w:val="TableGrid"/>
    <w:rsid w:val="004A4E1E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12F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F4A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2F4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F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2F4A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ADEFA346C158340B5DA38FB76CFBB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43B2AF9-34DA-7544-9001-C87D5205E18B}"/>
      </w:docPartPr>
      <w:docPartBody>
        <w:p w:rsidR="004958D7" w:rsidRDefault="001E1E4B" w:rsidP="001E1E4B">
          <w:pPr>
            <w:pStyle w:val="9ADEFA346C158340B5DA38FB76CFBB82"/>
          </w:pPr>
          <w: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ew Roman">
    <w:altName w:val="Roman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DejaVuSans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1E4B"/>
    <w:rsid w:val="001E1E4B"/>
    <w:rsid w:val="001F1D38"/>
    <w:rsid w:val="001F46F4"/>
    <w:rsid w:val="001F481F"/>
    <w:rsid w:val="001F52B5"/>
    <w:rsid w:val="002D2DD0"/>
    <w:rsid w:val="003459CA"/>
    <w:rsid w:val="004479BB"/>
    <w:rsid w:val="00467C7F"/>
    <w:rsid w:val="004958D7"/>
    <w:rsid w:val="005A794D"/>
    <w:rsid w:val="00612026"/>
    <w:rsid w:val="0069580D"/>
    <w:rsid w:val="007B00EC"/>
    <w:rsid w:val="009113EC"/>
    <w:rsid w:val="00912D01"/>
    <w:rsid w:val="009C0E94"/>
    <w:rsid w:val="00B562E6"/>
    <w:rsid w:val="00C86536"/>
    <w:rsid w:val="00C97597"/>
    <w:rsid w:val="00CE05C4"/>
    <w:rsid w:val="00CE2AF1"/>
    <w:rsid w:val="00FB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ADEFA346C158340B5DA38FB76CFBB82">
    <w:name w:val="9ADEFA346C158340B5DA38FB76CFBB82"/>
    <w:rsid w:val="001E1E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476C72-8EE6-4350-BFD8-E7F1BA5E1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3430</Words>
  <Characters>20586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2020-02-17T08:27:00Z</dcterms:created>
  <dcterms:modified xsi:type="dcterms:W3CDTF">2020-02-20T09:22:00Z</dcterms:modified>
</cp:coreProperties>
</file>