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A704C5" w14:textId="77777777" w:rsidR="000A3E48" w:rsidRPr="00387137" w:rsidRDefault="000A3E48" w:rsidP="000A3E48">
      <w:r w:rsidRPr="00387137">
        <w:t>Załącznik nr 3c do SIWZ</w:t>
      </w:r>
    </w:p>
    <w:p w14:paraId="066EDAD4" w14:textId="77777777" w:rsidR="000A3E48" w:rsidRPr="00387137" w:rsidRDefault="000A3E48" w:rsidP="000A3E48"/>
    <w:p w14:paraId="65CDA1A6" w14:textId="77777777" w:rsidR="000A3E48" w:rsidRPr="00387137" w:rsidRDefault="000A3E48" w:rsidP="000A3E48">
      <w:r w:rsidRPr="00387137">
        <w:t>Opis przedmiotu zamówienia</w:t>
      </w:r>
    </w:p>
    <w:p w14:paraId="1CBF44B5" w14:textId="77777777" w:rsidR="000A3E48" w:rsidRPr="00387137" w:rsidRDefault="000A3E48" w:rsidP="000A3E48">
      <w:r w:rsidRPr="00387137">
        <w:t xml:space="preserve"> Przedmiot zamówienia obejmuje dostawę zgodnie z poniższym wykazem:</w:t>
      </w:r>
    </w:p>
    <w:p w14:paraId="70BBA0B4" w14:textId="77777777" w:rsidR="000A3E48" w:rsidRPr="00387137" w:rsidRDefault="000A3E48" w:rsidP="000A3E48"/>
    <w:p w14:paraId="69110822" w14:textId="77777777" w:rsidR="000A3E48" w:rsidRPr="00387137" w:rsidRDefault="000A3E48" w:rsidP="000A3E48"/>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7655"/>
      </w:tblGrid>
      <w:tr w:rsidR="000A3E48" w:rsidRPr="007B1778" w14:paraId="267E3C70" w14:textId="77777777" w:rsidTr="00387137">
        <w:trPr>
          <w:jc w:val="center"/>
        </w:trPr>
        <w:tc>
          <w:tcPr>
            <w:tcW w:w="9918" w:type="dxa"/>
            <w:gridSpan w:val="2"/>
            <w:shd w:val="clear" w:color="auto" w:fill="ED7D31"/>
            <w:noWrap/>
            <w:vAlign w:val="center"/>
          </w:tcPr>
          <w:p w14:paraId="4D71EC2C" w14:textId="77777777" w:rsidR="000A3E48" w:rsidRPr="00387137" w:rsidRDefault="000A3E48" w:rsidP="00387137">
            <w:r w:rsidRPr="00387137">
              <w:t xml:space="preserve">Stacjonarny zestaw komputerowy z monitorem– 4sztuk </w:t>
            </w:r>
          </w:p>
        </w:tc>
      </w:tr>
      <w:tr w:rsidR="000A3E48" w:rsidRPr="007B1778" w14:paraId="567B1042" w14:textId="77777777" w:rsidTr="00387137">
        <w:trPr>
          <w:jc w:val="center"/>
        </w:trPr>
        <w:tc>
          <w:tcPr>
            <w:tcW w:w="2263" w:type="dxa"/>
            <w:shd w:val="clear" w:color="auto" w:fill="ED7D31"/>
            <w:noWrap/>
            <w:vAlign w:val="center"/>
          </w:tcPr>
          <w:p w14:paraId="53E1501B" w14:textId="77777777" w:rsidR="000A3E48" w:rsidRPr="00387137" w:rsidRDefault="000A3E48" w:rsidP="00387137">
            <w:r w:rsidRPr="00387137">
              <w:t>Nazwa podzespołu</w:t>
            </w:r>
          </w:p>
        </w:tc>
        <w:tc>
          <w:tcPr>
            <w:tcW w:w="7655" w:type="dxa"/>
            <w:shd w:val="clear" w:color="auto" w:fill="ED7D31"/>
            <w:noWrap/>
            <w:vAlign w:val="center"/>
          </w:tcPr>
          <w:p w14:paraId="05CAF73A" w14:textId="77777777" w:rsidR="000A3E48" w:rsidRPr="00387137" w:rsidRDefault="000A3E48" w:rsidP="00387137">
            <w:r w:rsidRPr="00387137">
              <w:t>Minimalne wymagania parametry</w:t>
            </w:r>
          </w:p>
        </w:tc>
      </w:tr>
      <w:tr w:rsidR="000A3E48" w:rsidRPr="007B1778" w14:paraId="53DEC4B8" w14:textId="77777777" w:rsidTr="00387137">
        <w:trPr>
          <w:jc w:val="center"/>
        </w:trPr>
        <w:tc>
          <w:tcPr>
            <w:tcW w:w="2263" w:type="dxa"/>
            <w:shd w:val="clear" w:color="auto" w:fill="auto"/>
            <w:noWrap/>
          </w:tcPr>
          <w:p w14:paraId="4A2BA9EA" w14:textId="77777777" w:rsidR="000A3E48" w:rsidRPr="00387137" w:rsidRDefault="000A3E48" w:rsidP="00387137">
            <w:r w:rsidRPr="00387137">
              <w:t>Typ</w:t>
            </w:r>
          </w:p>
        </w:tc>
        <w:tc>
          <w:tcPr>
            <w:tcW w:w="7655" w:type="dxa"/>
            <w:shd w:val="clear" w:color="auto" w:fill="auto"/>
            <w:noWrap/>
          </w:tcPr>
          <w:p w14:paraId="08224C1B" w14:textId="77777777" w:rsidR="000A3E48" w:rsidRPr="00387137" w:rsidRDefault="000A3E48" w:rsidP="00387137">
            <w:r w:rsidRPr="00387137">
              <w:t>Komputer stacjonarny.</w:t>
            </w:r>
          </w:p>
          <w:p w14:paraId="26CE4FF9" w14:textId="77777777" w:rsidR="000A3E48" w:rsidRPr="00387137" w:rsidRDefault="000A3E48" w:rsidP="00387137"/>
        </w:tc>
      </w:tr>
      <w:tr w:rsidR="000A3E48" w:rsidRPr="007B1778" w14:paraId="35BC9CB7" w14:textId="77777777" w:rsidTr="00387137">
        <w:trPr>
          <w:jc w:val="center"/>
        </w:trPr>
        <w:tc>
          <w:tcPr>
            <w:tcW w:w="2263" w:type="dxa"/>
            <w:shd w:val="clear" w:color="auto" w:fill="auto"/>
            <w:noWrap/>
          </w:tcPr>
          <w:p w14:paraId="242DA8B4" w14:textId="77777777" w:rsidR="000A3E48" w:rsidRPr="00387137" w:rsidRDefault="000A3E48" w:rsidP="00387137">
            <w:r w:rsidRPr="00387137">
              <w:t>Procesor</w:t>
            </w:r>
          </w:p>
        </w:tc>
        <w:tc>
          <w:tcPr>
            <w:tcW w:w="7655" w:type="dxa"/>
            <w:shd w:val="clear" w:color="auto" w:fill="auto"/>
            <w:noWrap/>
          </w:tcPr>
          <w:p w14:paraId="06ADBD69" w14:textId="77777777" w:rsidR="000A3E48" w:rsidRPr="00387137" w:rsidRDefault="000A3E48" w:rsidP="00387137">
            <w:r w:rsidRPr="00387137">
              <w:t xml:space="preserve">Komputer powinien osiągać w teście wydajności Sysmark2014 </w:t>
            </w:r>
            <w:proofErr w:type="spellStart"/>
            <w:r w:rsidRPr="00387137">
              <w:t>Overall</w:t>
            </w:r>
            <w:proofErr w:type="spellEnd"/>
            <w:r w:rsidRPr="00387137">
              <w:t xml:space="preserve"> Performance wynik 1800 pkt. (oprogramowanie testujące musi być zainstalowane na dysku oferowanym lub identycznym z oferowanym, przy rozdzielczości 1920x1080 pikseli i włączonych wszystkich zainstalowanych urządzeniach).</w:t>
            </w:r>
          </w:p>
          <w:p w14:paraId="52482B94" w14:textId="77777777" w:rsidR="000A3E48" w:rsidRPr="00387137" w:rsidRDefault="000A3E48" w:rsidP="00387137">
            <w:r w:rsidRPr="00387137">
              <w:t>Potwierdzeniem  spełnienia  tego  wymogu  powinien  być  załączony  przez  Wykonawcę,   do oferty, wydruk z przeprowadzonych testów potwierdzający, że procesor w oferowanej konfiguracji komputera osiągnął wymagany wynik. Testy powinny być potwierdzone przez przedstawiciela Producenta komputera w Polsce. Testy dla oferowanego modelu stacji roboczej  w  oferowanej  konfiguracji  (stacja  robocza/procesor)  muszą  być  opublikowane   i ogólnie dostępne na stronie https://results.bapco.com/results/benchmark/sysmark_2014.</w:t>
            </w:r>
          </w:p>
        </w:tc>
      </w:tr>
      <w:tr w:rsidR="000A3E48" w:rsidRPr="007B1778" w14:paraId="2451A389" w14:textId="77777777" w:rsidTr="00387137">
        <w:trPr>
          <w:jc w:val="center"/>
        </w:trPr>
        <w:tc>
          <w:tcPr>
            <w:tcW w:w="2263" w:type="dxa"/>
            <w:shd w:val="clear" w:color="auto" w:fill="auto"/>
            <w:noWrap/>
          </w:tcPr>
          <w:p w14:paraId="1FD4EB0E" w14:textId="77777777" w:rsidR="000A3E48" w:rsidRPr="00387137" w:rsidRDefault="000A3E48" w:rsidP="00387137">
            <w:r w:rsidRPr="007B1778">
              <w:t>Pamięć RAM</w:t>
            </w:r>
          </w:p>
        </w:tc>
        <w:tc>
          <w:tcPr>
            <w:tcW w:w="7655" w:type="dxa"/>
            <w:shd w:val="clear" w:color="auto" w:fill="auto"/>
            <w:noWrap/>
          </w:tcPr>
          <w:p w14:paraId="464A3201" w14:textId="77777777" w:rsidR="000A3E48" w:rsidRPr="00387137" w:rsidRDefault="000A3E48" w:rsidP="00387137"/>
          <w:p w14:paraId="276D39DD" w14:textId="77777777" w:rsidR="000A3E48" w:rsidRPr="00387137" w:rsidRDefault="000A3E48" w:rsidP="00387137">
            <w:r w:rsidRPr="00387137">
              <w:t>8GB DDR4 możliwość rozbudowy do nie mniej niż 32 GB;</w:t>
            </w:r>
          </w:p>
        </w:tc>
      </w:tr>
      <w:tr w:rsidR="000A3E48" w:rsidRPr="007B1778" w14:paraId="7F032CCD" w14:textId="77777777" w:rsidTr="00387137">
        <w:trPr>
          <w:jc w:val="center"/>
        </w:trPr>
        <w:tc>
          <w:tcPr>
            <w:tcW w:w="2263" w:type="dxa"/>
            <w:shd w:val="clear" w:color="auto" w:fill="auto"/>
            <w:noWrap/>
          </w:tcPr>
          <w:p w14:paraId="6AFB86D9" w14:textId="77777777" w:rsidR="000A3E48" w:rsidRPr="00387137" w:rsidRDefault="000A3E48" w:rsidP="00387137">
            <w:r w:rsidRPr="00387137">
              <w:t>Dyski HDD</w:t>
            </w:r>
          </w:p>
        </w:tc>
        <w:tc>
          <w:tcPr>
            <w:tcW w:w="7655" w:type="dxa"/>
            <w:shd w:val="clear" w:color="auto" w:fill="auto"/>
            <w:noWrap/>
          </w:tcPr>
          <w:p w14:paraId="4E7128FE" w14:textId="77777777" w:rsidR="000A3E48" w:rsidRPr="00387137" w:rsidRDefault="000A3E48" w:rsidP="00387137"/>
          <w:p w14:paraId="663E8358" w14:textId="77777777" w:rsidR="000A3E48" w:rsidRPr="00387137" w:rsidRDefault="000A3E48" w:rsidP="00387137">
            <w:r w:rsidRPr="00387137">
              <w:t>1 x 240GB SSD</w:t>
            </w:r>
          </w:p>
          <w:p w14:paraId="0741B677" w14:textId="77777777" w:rsidR="000A3E48" w:rsidRPr="007B1778" w:rsidRDefault="000A3E48" w:rsidP="00387137"/>
          <w:p w14:paraId="7F01B17E" w14:textId="77777777" w:rsidR="000A3E48" w:rsidRPr="00387137" w:rsidRDefault="000A3E48" w:rsidP="00387137"/>
        </w:tc>
      </w:tr>
      <w:tr w:rsidR="000A3E48" w:rsidRPr="007B1778" w14:paraId="3AE91441" w14:textId="77777777" w:rsidTr="00387137">
        <w:trPr>
          <w:jc w:val="center"/>
        </w:trPr>
        <w:tc>
          <w:tcPr>
            <w:tcW w:w="2263" w:type="dxa"/>
            <w:shd w:val="clear" w:color="auto" w:fill="auto"/>
            <w:noWrap/>
          </w:tcPr>
          <w:p w14:paraId="37DAA265" w14:textId="77777777" w:rsidR="000A3E48" w:rsidRPr="00387137" w:rsidRDefault="000A3E48" w:rsidP="00387137">
            <w:r w:rsidRPr="00387137">
              <w:t>Karta graficzna</w:t>
            </w:r>
          </w:p>
        </w:tc>
        <w:tc>
          <w:tcPr>
            <w:tcW w:w="7655" w:type="dxa"/>
            <w:shd w:val="clear" w:color="auto" w:fill="auto"/>
            <w:noWrap/>
          </w:tcPr>
          <w:p w14:paraId="5994C226" w14:textId="77777777" w:rsidR="000A3E48" w:rsidRPr="00387137" w:rsidRDefault="000A3E48" w:rsidP="00387137">
            <w:r w:rsidRPr="00387137">
              <w:t xml:space="preserve">Grafika   zintegrowana   z   procesorem    powinna    umożliwiać    pracę    dwumonitorową  ze wsparciem dla HDMI v1.4, ze sprzętowym wsparciem dla kodowania H.264 oraz MPEG2, DirectX 12, </w:t>
            </w:r>
            <w:proofErr w:type="spellStart"/>
            <w:r w:rsidRPr="00387137">
              <w:t>OpenGL</w:t>
            </w:r>
            <w:proofErr w:type="spellEnd"/>
            <w:r w:rsidRPr="00387137">
              <w:t xml:space="preserve"> 4.5, </w:t>
            </w:r>
            <w:proofErr w:type="spellStart"/>
            <w:r w:rsidRPr="00387137">
              <w:t>OpenCL</w:t>
            </w:r>
            <w:proofErr w:type="spellEnd"/>
            <w:r w:rsidRPr="00387137">
              <w:t xml:space="preserve"> 1.2, </w:t>
            </w:r>
            <w:proofErr w:type="spellStart"/>
            <w:r w:rsidRPr="00387137">
              <w:t>Shader</w:t>
            </w:r>
            <w:proofErr w:type="spellEnd"/>
            <w:r w:rsidRPr="00387137">
              <w:t xml:space="preserve"> 5 posiadająca  min.  24EU  (Graphics </w:t>
            </w:r>
            <w:proofErr w:type="spellStart"/>
            <w:r w:rsidRPr="00387137">
              <w:t>Execution</w:t>
            </w:r>
            <w:proofErr w:type="spellEnd"/>
            <w:r w:rsidRPr="00387137">
              <w:t xml:space="preserve"> </w:t>
            </w:r>
            <w:proofErr w:type="spellStart"/>
            <w:r w:rsidRPr="00387137">
              <w:t>Units</w:t>
            </w:r>
            <w:proofErr w:type="spellEnd"/>
            <w:r w:rsidRPr="00387137">
              <w:t xml:space="preserve">) oraz Dual HD HW </w:t>
            </w:r>
            <w:proofErr w:type="spellStart"/>
            <w:r w:rsidRPr="00387137">
              <w:t>Decode</w:t>
            </w:r>
            <w:proofErr w:type="spellEnd"/>
            <w:r w:rsidRPr="00387137">
              <w:t xml:space="preserve"> o maksymalnej rozdzielczości nie mniejszej niż: 4096x2304 </w:t>
            </w:r>
            <w:proofErr w:type="spellStart"/>
            <w:r w:rsidRPr="00387137">
              <w:t>px</w:t>
            </w:r>
            <w:proofErr w:type="spellEnd"/>
            <w:r w:rsidRPr="00387137">
              <w:t xml:space="preserve"> @ 60 </w:t>
            </w:r>
            <w:proofErr w:type="spellStart"/>
            <w:r w:rsidRPr="00387137">
              <w:t>Hz</w:t>
            </w:r>
            <w:proofErr w:type="spellEnd"/>
            <w:r w:rsidRPr="00387137">
              <w:t xml:space="preserve"> (cyfrowo).</w:t>
            </w:r>
          </w:p>
        </w:tc>
      </w:tr>
      <w:tr w:rsidR="000A3E48" w:rsidRPr="007B1778" w14:paraId="6F43575C" w14:textId="77777777" w:rsidTr="00387137">
        <w:trPr>
          <w:trHeight w:val="1089"/>
          <w:jc w:val="center"/>
        </w:trPr>
        <w:tc>
          <w:tcPr>
            <w:tcW w:w="2263" w:type="dxa"/>
            <w:shd w:val="clear" w:color="auto" w:fill="auto"/>
            <w:noWrap/>
          </w:tcPr>
          <w:p w14:paraId="1ABAE366" w14:textId="77777777" w:rsidR="000A3E48" w:rsidRPr="00387137" w:rsidRDefault="000A3E48" w:rsidP="00387137">
            <w:r w:rsidRPr="007B1778">
              <w:t xml:space="preserve">Karta </w:t>
            </w:r>
            <w:proofErr w:type="spellStart"/>
            <w:r w:rsidRPr="007B1778">
              <w:t>dźwiękowdźwiękowa</w:t>
            </w:r>
            <w:proofErr w:type="spellEnd"/>
          </w:p>
        </w:tc>
        <w:tc>
          <w:tcPr>
            <w:tcW w:w="7655" w:type="dxa"/>
            <w:shd w:val="clear" w:color="auto" w:fill="auto"/>
            <w:noWrap/>
          </w:tcPr>
          <w:p w14:paraId="0EB2751B" w14:textId="77777777" w:rsidR="000A3E48" w:rsidRPr="00387137" w:rsidRDefault="000A3E48" w:rsidP="00387137">
            <w:r w:rsidRPr="00387137">
              <w:t xml:space="preserve">Karta dźwiękowa zintegrowana z płytą główną, zgodna z </w:t>
            </w:r>
            <w:proofErr w:type="spellStart"/>
            <w:r w:rsidRPr="00387137">
              <w:t>HDAudio</w:t>
            </w:r>
            <w:proofErr w:type="spellEnd"/>
            <w:r w:rsidRPr="00387137">
              <w:t>. Oferowana karta audio ma w pełni obsługiwać porty audio in/</w:t>
            </w:r>
            <w:proofErr w:type="spellStart"/>
            <w:r w:rsidRPr="00387137">
              <w:t>ou</w:t>
            </w:r>
            <w:proofErr w:type="spellEnd"/>
            <w:r w:rsidRPr="00387137">
              <w:t xml:space="preserve"> wyprowadzone na zewnątrz ( nie dopuszcza się aby przy podłączaniu na panelu przednim wyłączał się jeden z portów na tym i na odwrót. </w:t>
            </w:r>
          </w:p>
        </w:tc>
      </w:tr>
      <w:tr w:rsidR="000A3E48" w:rsidRPr="007B1778" w14:paraId="6CB7C338" w14:textId="77777777" w:rsidTr="00387137">
        <w:trPr>
          <w:trHeight w:val="839"/>
          <w:jc w:val="center"/>
        </w:trPr>
        <w:tc>
          <w:tcPr>
            <w:tcW w:w="2263" w:type="dxa"/>
            <w:shd w:val="clear" w:color="auto" w:fill="auto"/>
            <w:noWrap/>
          </w:tcPr>
          <w:p w14:paraId="057B5A5D" w14:textId="77777777" w:rsidR="000A3E48" w:rsidRPr="007B1778" w:rsidDel="00D97EC2" w:rsidRDefault="000A3E48" w:rsidP="00387137">
            <w:proofErr w:type="spellStart"/>
            <w:r w:rsidRPr="007B1778">
              <w:t>GłośnikGłośnik</w:t>
            </w:r>
            <w:proofErr w:type="spellEnd"/>
          </w:p>
        </w:tc>
        <w:tc>
          <w:tcPr>
            <w:tcW w:w="7655" w:type="dxa"/>
            <w:shd w:val="clear" w:color="auto" w:fill="auto"/>
            <w:noWrap/>
          </w:tcPr>
          <w:p w14:paraId="684651AA" w14:textId="77777777" w:rsidR="000A3E48" w:rsidRPr="00387137" w:rsidRDefault="000A3E48" w:rsidP="00387137">
            <w:r w:rsidRPr="00387137">
              <w:t xml:space="preserve">Wewnętrzny głośnik w obudowie komputera. Porty audio : na panelu przednim min. 1 port </w:t>
            </w:r>
            <w:proofErr w:type="spellStart"/>
            <w:r w:rsidRPr="00387137">
              <w:t>combo</w:t>
            </w:r>
            <w:proofErr w:type="spellEnd"/>
            <w:r w:rsidRPr="00387137">
              <w:t xml:space="preserve"> ( słuchawki i mikrofon ), na panelu  tylnym min. audio out.</w:t>
            </w:r>
          </w:p>
        </w:tc>
      </w:tr>
      <w:tr w:rsidR="000A3E48" w:rsidRPr="007B1778" w14:paraId="5AA1D8F2" w14:textId="77777777" w:rsidTr="00387137">
        <w:trPr>
          <w:jc w:val="center"/>
        </w:trPr>
        <w:tc>
          <w:tcPr>
            <w:tcW w:w="2263" w:type="dxa"/>
            <w:shd w:val="clear" w:color="auto" w:fill="auto"/>
            <w:noWrap/>
          </w:tcPr>
          <w:p w14:paraId="60C91ABA" w14:textId="77777777" w:rsidR="000A3E48" w:rsidRPr="00387137" w:rsidRDefault="000A3E48" w:rsidP="00387137">
            <w:r w:rsidRPr="00387137">
              <w:t>Obudowa</w:t>
            </w:r>
          </w:p>
        </w:tc>
        <w:tc>
          <w:tcPr>
            <w:tcW w:w="7655" w:type="dxa"/>
            <w:shd w:val="clear" w:color="auto" w:fill="auto"/>
            <w:noWrap/>
          </w:tcPr>
          <w:p w14:paraId="1E133441" w14:textId="77777777" w:rsidR="000A3E48" w:rsidRPr="00387137" w:rsidRDefault="000A3E48" w:rsidP="00387137">
            <w:r w:rsidRPr="00387137">
              <w:t xml:space="preserve">Małogabarytowa typu small form </w:t>
            </w:r>
            <w:proofErr w:type="spellStart"/>
            <w:r w:rsidRPr="00387137">
              <w:t>factor</w:t>
            </w:r>
            <w:proofErr w:type="spellEnd"/>
            <w:r w:rsidRPr="00387137">
              <w:t xml:space="preserve"> z obsługą kart PCI Express wyłącznie o niskim profilu, fabrycznie przystosowana do pracy w układzie pionowym i poziomym wyposażona   w nie mniej niż 2 wnęki:</w:t>
            </w:r>
          </w:p>
          <w:p w14:paraId="61C85D8E" w14:textId="77777777" w:rsidR="000A3E48" w:rsidRPr="00387137" w:rsidRDefault="000A3E48" w:rsidP="00387137">
            <w:r w:rsidRPr="00387137">
              <w:t xml:space="preserve">1  szt.  5,25”  zewnętrzna   (dopuszczalna   kieszeń   </w:t>
            </w:r>
            <w:proofErr w:type="spellStart"/>
            <w:r w:rsidRPr="00387137">
              <w:t>slim</w:t>
            </w:r>
            <w:proofErr w:type="spellEnd"/>
            <w:r w:rsidRPr="00387137">
              <w:t>)   i   1   szt.   3,5”   wewnętrzna lub wewnętrzna do montażu 2 dysków 2,5”.</w:t>
            </w:r>
          </w:p>
          <w:p w14:paraId="5EB9F669" w14:textId="77777777" w:rsidR="000A3E48" w:rsidRPr="00387137" w:rsidRDefault="000A3E48" w:rsidP="00387137">
            <w:r w:rsidRPr="00387137">
              <w:t>Obudowa powinna fabrycznie umożliwiać montaż min. 2 szt. dysków.</w:t>
            </w:r>
          </w:p>
          <w:p w14:paraId="1F2F1494" w14:textId="77777777" w:rsidR="000A3E48" w:rsidRPr="00387137" w:rsidRDefault="000A3E48" w:rsidP="00387137">
            <w:r w:rsidRPr="00387137">
              <w:t xml:space="preserve">Zasilacz o mocy (ciągłej) minimalnej 200W, ale nie więcej niż 250W,  pracujący w sieci 230  V 50/60 </w:t>
            </w:r>
            <w:proofErr w:type="spellStart"/>
            <w:r w:rsidRPr="00387137">
              <w:t>Hz</w:t>
            </w:r>
            <w:proofErr w:type="spellEnd"/>
            <w:r w:rsidRPr="00387137">
              <w:t xml:space="preserve"> prądu zmiennego i sprawności nie mniej </w:t>
            </w:r>
            <w:r w:rsidRPr="00387137">
              <w:lastRenderedPageBreak/>
              <w:t xml:space="preserve">niż 92% przy 50% obciążeniu zasilacza. </w:t>
            </w:r>
          </w:p>
          <w:p w14:paraId="6C3543F6" w14:textId="77777777" w:rsidR="000A3E48" w:rsidRPr="00387137" w:rsidRDefault="000A3E48" w:rsidP="00387137">
            <w:r w:rsidRPr="00387137">
              <w:t>Komputer wyposażony na panelu przednim zdejmowany bez użycia narzędzi filtr powietrza chroniący wnętrze komputera przed kurzem, pyłem itp.</w:t>
            </w:r>
          </w:p>
          <w:p w14:paraId="527D182C" w14:textId="77777777" w:rsidR="000A3E48" w:rsidRPr="00387137" w:rsidRDefault="000A3E48" w:rsidP="00387137">
            <w:r w:rsidRPr="00387137">
              <w:t>Oferowany komputer musi spełniać normy MIL-STD-810G.</w:t>
            </w:r>
          </w:p>
          <w:p w14:paraId="241527BA" w14:textId="77777777" w:rsidR="000A3E48" w:rsidRPr="00387137" w:rsidRDefault="000A3E48" w:rsidP="00387137"/>
        </w:tc>
      </w:tr>
      <w:tr w:rsidR="000A3E48" w:rsidRPr="007B1778" w14:paraId="67D5F7C8" w14:textId="77777777" w:rsidTr="00387137">
        <w:trPr>
          <w:jc w:val="center"/>
        </w:trPr>
        <w:tc>
          <w:tcPr>
            <w:tcW w:w="2263" w:type="dxa"/>
            <w:shd w:val="clear" w:color="auto" w:fill="auto"/>
            <w:noWrap/>
          </w:tcPr>
          <w:p w14:paraId="0E0C959B" w14:textId="77777777" w:rsidR="000A3E48" w:rsidRPr="00387137" w:rsidRDefault="000A3E48" w:rsidP="00387137">
            <w:r w:rsidRPr="00387137">
              <w:lastRenderedPageBreak/>
              <w:t>Zdalne zarządzanie</w:t>
            </w:r>
          </w:p>
        </w:tc>
        <w:tc>
          <w:tcPr>
            <w:tcW w:w="7655" w:type="dxa"/>
            <w:shd w:val="clear" w:color="auto" w:fill="auto"/>
            <w:noWrap/>
          </w:tcPr>
          <w:p w14:paraId="13D41F0C" w14:textId="77777777" w:rsidR="000A3E48" w:rsidRPr="00387137" w:rsidRDefault="000A3E48" w:rsidP="00387137">
            <w:r w:rsidRPr="00387137">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4BB7CAA1" w14:textId="77777777" w:rsidR="000A3E48" w:rsidRPr="00387137" w:rsidRDefault="000A3E48" w:rsidP="00387137">
            <w:r w:rsidRPr="00387137">
              <w:t>- monitorowanie   konfiguracji   komponentów   komputera   -</w:t>
            </w:r>
            <w:r w:rsidRPr="00387137">
              <w:tab/>
              <w:t>CPU,   pamięć HDD, wersja BIOS płyty głównej;</w:t>
            </w:r>
          </w:p>
          <w:p w14:paraId="64E54FF6" w14:textId="77777777" w:rsidR="000A3E48" w:rsidRPr="00387137" w:rsidRDefault="000A3E48" w:rsidP="00387137">
            <w:r w:rsidRPr="00387137">
              <w:t>- zdalną konfigurację ustawień BIOS;</w:t>
            </w:r>
          </w:p>
          <w:p w14:paraId="4C398987" w14:textId="77777777" w:rsidR="000A3E48" w:rsidRPr="007B1778" w:rsidRDefault="000A3E48" w:rsidP="00387137">
            <w:r w:rsidRPr="007B1778">
              <w:t>- zdalne przejęcie konsoli tekstowej systemu, przekierowanie procesu ładowania systemu operacyjnego z wirtualnego CD ROM lub FDD z serwera zarządzającego;</w:t>
            </w:r>
          </w:p>
          <w:p w14:paraId="565DCEDE" w14:textId="77777777" w:rsidR="000A3E48" w:rsidRPr="00387137" w:rsidRDefault="000A3E48" w:rsidP="00387137"/>
        </w:tc>
      </w:tr>
      <w:tr w:rsidR="000A3E48" w:rsidRPr="007B1778" w14:paraId="104F9B9B" w14:textId="77777777" w:rsidTr="00387137">
        <w:trPr>
          <w:jc w:val="center"/>
        </w:trPr>
        <w:tc>
          <w:tcPr>
            <w:tcW w:w="2263" w:type="dxa"/>
            <w:shd w:val="clear" w:color="auto" w:fill="auto"/>
            <w:noWrap/>
          </w:tcPr>
          <w:p w14:paraId="168FAB65" w14:textId="77777777" w:rsidR="000A3E48" w:rsidRPr="00387137" w:rsidRDefault="000A3E48" w:rsidP="00387137">
            <w:r w:rsidRPr="00387137">
              <w:t>Funkcje BIOS</w:t>
            </w:r>
          </w:p>
        </w:tc>
        <w:tc>
          <w:tcPr>
            <w:tcW w:w="7655" w:type="dxa"/>
            <w:shd w:val="clear" w:color="auto" w:fill="auto"/>
            <w:noWrap/>
          </w:tcPr>
          <w:p w14:paraId="20AEFF36" w14:textId="77777777" w:rsidR="000A3E48" w:rsidRPr="00387137" w:rsidRDefault="000A3E48" w:rsidP="00387137">
            <w:r w:rsidRPr="00387137">
              <w:t xml:space="preserve">BIOS zgodny ze specyfikacją UEFI, wyprodukowany przez producenta komputera, zawierający logo producenta komputera lub nazwę producenta komputera lub nazwę modelu oferowanego komputera, z pełną funkcjonalnością </w:t>
            </w:r>
            <w:proofErr w:type="spellStart"/>
            <w:r w:rsidRPr="00387137">
              <w:t>SecureBoot</w:t>
            </w:r>
            <w:proofErr w:type="spellEnd"/>
            <w:r w:rsidRPr="00387137">
              <w:t>.</w:t>
            </w:r>
          </w:p>
          <w:p w14:paraId="748172F6" w14:textId="77777777" w:rsidR="000A3E48" w:rsidRPr="00387137" w:rsidRDefault="000A3E48" w:rsidP="00387137">
            <w:r w:rsidRPr="00387137">
              <w:t>Pełna obsługa BIOS za pomocą klawiatury i myszy. BIOS wyposażony w automatyczną detekcję zmiany konfiguracji, automatycznie nanoszący zmiany w konfiguracji w szczególności :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włączonej lub wyłączonej funkcji aktualizacji BIOS, ilości zainstalowanej pamięci RAM, prędkości zainstalowanych pamięci RAM, sposobie obsadzeniu slotów pamięci z rozbiciem na wielkości pamięci i banki, typie zainstalowanego procesora, typowej prędkości zainstalowanego procesora, maksymalnej osiąganej prędkości zainstalowanego procesora, pojemności zainstalowanego lub zainstalowanych dysków twardych podpiętych do dostępnych na płycie głównej portów SATA oraz M.2, rodzajach napędów optycznych, MAC adresie zintegrowanej karty sieciowej, zintegrowanym układzie graficznym.</w:t>
            </w:r>
          </w:p>
          <w:p w14:paraId="252437FD" w14:textId="77777777" w:rsidR="000A3E48" w:rsidRPr="00387137" w:rsidRDefault="000A3E48" w:rsidP="00387137">
            <w:r w:rsidRPr="00387137">
              <w:t>Funkcja blokowania/odblokowania BOOT-</w:t>
            </w:r>
            <w:proofErr w:type="spellStart"/>
            <w:r w:rsidRPr="00387137">
              <w:t>owania</w:t>
            </w:r>
            <w:proofErr w:type="spellEnd"/>
            <w:r w:rsidRPr="00387137">
              <w:t xml:space="preserve"> stacji roboczej z zewnętrznych urządzeń. Możliwość ustawienia hasła użytkownika umożliwiającego uruchomienie komputera (zabezpieczenie   przed   nieautoryzowanym   uruchomieniem)   oraz   uprawniającego  do</w:t>
            </w:r>
          </w:p>
          <w:p w14:paraId="798498AF" w14:textId="77777777" w:rsidR="000A3E48" w:rsidRPr="00387137" w:rsidRDefault="000A3E48" w:rsidP="00387137">
            <w:r w:rsidRPr="00387137">
              <w:t>samodzielnej  zmiany  tego  hasła  przez  użytkownika  (bez  możliwości  zmiany     innych</w:t>
            </w:r>
          </w:p>
          <w:p w14:paraId="6EE25F1E" w14:textId="77777777" w:rsidR="000A3E48" w:rsidRPr="00387137" w:rsidRDefault="000A3E48" w:rsidP="00387137">
            <w:r w:rsidRPr="00387137">
              <w:t xml:space="preserve">parametrów konfiguracji BIOS) przy jednoczesnym zdefiniowanym haśle administratora i/lub zdefiniowanym haśle dla dysku Twardego. </w:t>
            </w:r>
          </w:p>
          <w:p w14:paraId="7D67F150" w14:textId="77777777" w:rsidR="000A3E48" w:rsidRPr="007B1778" w:rsidRDefault="000A3E48" w:rsidP="00387137">
            <w:r w:rsidRPr="007B1778">
              <w:t xml:space="preserve">Możliwość włączenia/wyłączenia funkcji </w:t>
            </w:r>
            <w:proofErr w:type="spellStart"/>
            <w:r w:rsidRPr="007B1778">
              <w:t>SecureBoot</w:t>
            </w:r>
            <w:proofErr w:type="spellEnd"/>
            <w:r w:rsidRPr="007B1778">
              <w:t>,</w:t>
            </w:r>
          </w:p>
          <w:p w14:paraId="17A18E2A" w14:textId="77777777" w:rsidR="000A3E48" w:rsidRPr="007B1778" w:rsidRDefault="000A3E48" w:rsidP="00387137">
            <w:r w:rsidRPr="007B1778">
              <w:t>Możliwość włączenia/wyłączenia funkcji VT Możliwość włączenia/wyłączenia układu TPM.</w:t>
            </w:r>
          </w:p>
          <w:p w14:paraId="2BD79DBA" w14:textId="77777777" w:rsidR="000A3E48" w:rsidRPr="007B1778" w:rsidRDefault="000A3E48" w:rsidP="00387137">
            <w:r w:rsidRPr="007B1778">
              <w:t xml:space="preserve">Funkcja zbierania i zapisywania logów z możliwością przeglądania i </w:t>
            </w:r>
            <w:r w:rsidRPr="007B1778">
              <w:lastRenderedPageBreak/>
              <w:t>kasowania archiwalnych incydentów.</w:t>
            </w:r>
          </w:p>
          <w:p w14:paraId="09CAB274" w14:textId="77777777" w:rsidR="000A3E48" w:rsidRPr="007B1778" w:rsidRDefault="000A3E48" w:rsidP="00387137"/>
          <w:p w14:paraId="402CC35D" w14:textId="77777777" w:rsidR="000A3E48" w:rsidRPr="00387137" w:rsidRDefault="000A3E48" w:rsidP="00387137">
            <w:r w:rsidRPr="007B1778">
              <w:t>Aktualizacja BIOS za pomocą strony internetowej producenta w oparciu o najnowsze, aktualne wersje BIOS – wymagany link strony internetowej producenta aktualizacji BIOS.</w:t>
            </w:r>
          </w:p>
        </w:tc>
      </w:tr>
      <w:tr w:rsidR="000A3E48" w:rsidRPr="007B1778" w14:paraId="36F5A498" w14:textId="77777777" w:rsidTr="00387137">
        <w:trPr>
          <w:jc w:val="center"/>
        </w:trPr>
        <w:tc>
          <w:tcPr>
            <w:tcW w:w="2263" w:type="dxa"/>
            <w:tcBorders>
              <w:top w:val="single" w:sz="4" w:space="0" w:color="auto"/>
              <w:left w:val="single" w:sz="4" w:space="0" w:color="auto"/>
              <w:bottom w:val="single" w:sz="4" w:space="0" w:color="auto"/>
              <w:right w:val="single" w:sz="4" w:space="0" w:color="auto"/>
            </w:tcBorders>
            <w:shd w:val="clear" w:color="auto" w:fill="auto"/>
            <w:noWrap/>
          </w:tcPr>
          <w:p w14:paraId="59115476" w14:textId="77777777" w:rsidR="000A3E48" w:rsidRPr="00387137" w:rsidRDefault="000A3E48" w:rsidP="00387137">
            <w:r w:rsidRPr="00387137">
              <w:lastRenderedPageBreak/>
              <w:t>Ergonomia</w:t>
            </w:r>
          </w:p>
        </w:tc>
        <w:tc>
          <w:tcPr>
            <w:tcW w:w="7655" w:type="dxa"/>
            <w:tcBorders>
              <w:top w:val="single" w:sz="4" w:space="0" w:color="auto"/>
              <w:left w:val="single" w:sz="4" w:space="0" w:color="auto"/>
              <w:bottom w:val="single" w:sz="4" w:space="0" w:color="auto"/>
              <w:right w:val="single" w:sz="4" w:space="0" w:color="auto"/>
            </w:tcBorders>
            <w:shd w:val="clear" w:color="auto" w:fill="auto"/>
            <w:noWrap/>
          </w:tcPr>
          <w:p w14:paraId="08E213D4" w14:textId="77777777" w:rsidR="000A3E48" w:rsidRPr="00387137" w:rsidRDefault="000A3E48" w:rsidP="00387137">
            <w:r w:rsidRPr="00387137">
              <w:t xml:space="preserve">Głośność jednostki centralnej w oferowanej konfiguracji mierzona zgodnie z normą ISO  7779 oraz wykazana zgodnie z normą ISO 9296 w pozycji operatora w trybie pracy dysku twardego (W ORK)  wynosząca maksymalnie 22 </w:t>
            </w:r>
            <w:proofErr w:type="spellStart"/>
            <w:r w:rsidRPr="00387137">
              <w:t>dB</w:t>
            </w:r>
            <w:proofErr w:type="spellEnd"/>
            <w:r w:rsidRPr="00387137">
              <w:t xml:space="preserve"> (załączyć  oświadczenie  Producenta wraz  z  raportem  badawczym  wystawionym  przez  niezależną   akredytowaną  jednostkę  w zakresie ISO7779).</w:t>
            </w:r>
          </w:p>
          <w:p w14:paraId="641F6123" w14:textId="77777777" w:rsidR="000A3E48" w:rsidRPr="00387137" w:rsidRDefault="000A3E48" w:rsidP="00387137">
            <w:r w:rsidRPr="00387137">
              <w:t>Moduł konstrukcji obudowy w jednostce centralnej komputera powinien pozwalać na demontaż kart rozszerzeń, napędu optycznego i 3,5”oraz 2,5” dysku twardego bez konieczności użycia narzędzi (wyklucza się użycie wkrętów, śrub motylkowych w samej obudowie lub którymkolwiek z wymienionych podzespołów).</w:t>
            </w:r>
          </w:p>
          <w:p w14:paraId="22DE739A" w14:textId="77777777" w:rsidR="000A3E48" w:rsidRPr="00387137" w:rsidRDefault="000A3E48" w:rsidP="00387137">
            <w:r w:rsidRPr="00387137">
              <w:t>Obudowa w jednostce centralnej musi być otwierana bez konieczności użycia narzędzi (wyklucza się użycie standardowych wkrętów, śrub motylkowych) oraz powinna posiadać czujnik     otwarcia     obudowy     współpracujący     z     oprogramowaniem      zarządzająco</w:t>
            </w:r>
          </w:p>
          <w:p w14:paraId="4B05A666" w14:textId="77777777" w:rsidR="000A3E48" w:rsidRPr="00387137" w:rsidRDefault="000A3E48" w:rsidP="00387137">
            <w:r w:rsidRPr="00387137">
              <w:t>– diagnostycznym Producenta komputera oraz ma współpracować z BIOS zapisując incydenty otwarcia obudowy w logach( data i godzina incydentu otwarcia obudowy ).</w:t>
            </w:r>
          </w:p>
          <w:p w14:paraId="32CD6D86" w14:textId="77777777" w:rsidR="000A3E48" w:rsidRPr="00387137" w:rsidRDefault="000A3E48" w:rsidP="00387137">
            <w:r w:rsidRPr="00387137">
              <w:t xml:space="preserve">Obudowa   musi   umożliwiać   zastosowanie   zabezpieczenia   fizycznego    w    postaci linki metalowej (złącze blokady </w:t>
            </w:r>
            <w:proofErr w:type="spellStart"/>
            <w:r w:rsidRPr="00387137">
              <w:t>Kensingtona</w:t>
            </w:r>
            <w:proofErr w:type="spellEnd"/>
            <w:r w:rsidRPr="00387137">
              <w:t>) oraz kłódki (oczko w obudowie do założenia kłódki).</w:t>
            </w:r>
          </w:p>
          <w:p w14:paraId="0DEF78B0" w14:textId="77777777" w:rsidR="000A3E48" w:rsidRPr="00387137" w:rsidRDefault="000A3E48" w:rsidP="00387137"/>
        </w:tc>
      </w:tr>
      <w:tr w:rsidR="000A3E48" w:rsidRPr="007B1778" w14:paraId="6B21E237" w14:textId="77777777" w:rsidTr="00387137">
        <w:trPr>
          <w:trHeight w:val="641"/>
          <w:jc w:val="center"/>
        </w:trPr>
        <w:tc>
          <w:tcPr>
            <w:tcW w:w="2263" w:type="dxa"/>
            <w:shd w:val="clear" w:color="auto" w:fill="auto"/>
            <w:noWrap/>
          </w:tcPr>
          <w:p w14:paraId="08B83EF4" w14:textId="77777777" w:rsidR="000A3E48" w:rsidRPr="00387137" w:rsidRDefault="000A3E48" w:rsidP="00387137">
            <w:r w:rsidRPr="00387137">
              <w:t>Wsparcie techniczne producenta</w:t>
            </w:r>
          </w:p>
        </w:tc>
        <w:tc>
          <w:tcPr>
            <w:tcW w:w="7655" w:type="dxa"/>
            <w:tcBorders>
              <w:bottom w:val="single" w:sz="4" w:space="0" w:color="auto"/>
            </w:tcBorders>
            <w:shd w:val="clear" w:color="auto" w:fill="auto"/>
            <w:noWrap/>
          </w:tcPr>
          <w:p w14:paraId="1F53C10D" w14:textId="77777777" w:rsidR="000A3E48" w:rsidRPr="00387137" w:rsidRDefault="000A3E48" w:rsidP="00387137">
            <w:r w:rsidRPr="00387137">
              <w:t>Możliwość telefonicznego sprawdzenia konfiguracji sprzętowej komputera oraz warunków gwarancji po podaniu numeru seryjnego bezpośrednio u Producenta lub jego przedstawiciela. Dostęp  do  najnowszych  sterowników  i  uaktualnień  na  stronie  Producenta   stacji roboczej, realizowany poprzez podanie na dedykowanej stronie internetowej Producenta numeru seryjnego lub modelu komputera</w:t>
            </w:r>
            <w:r>
              <w:t>.</w:t>
            </w:r>
          </w:p>
        </w:tc>
      </w:tr>
      <w:tr w:rsidR="000A3E48" w:rsidRPr="007B1778" w14:paraId="4C809783" w14:textId="77777777" w:rsidTr="00387137">
        <w:trPr>
          <w:trHeight w:val="641"/>
          <w:jc w:val="center"/>
        </w:trPr>
        <w:tc>
          <w:tcPr>
            <w:tcW w:w="2263" w:type="dxa"/>
            <w:shd w:val="clear" w:color="auto" w:fill="auto"/>
            <w:noWrap/>
          </w:tcPr>
          <w:p w14:paraId="0DF057A9" w14:textId="77777777" w:rsidR="000A3E48" w:rsidRPr="00387137" w:rsidRDefault="000A3E48" w:rsidP="00387137">
            <w:r w:rsidRPr="00387137">
              <w:t>Wymagania dodatkowe</w:t>
            </w:r>
          </w:p>
        </w:tc>
        <w:tc>
          <w:tcPr>
            <w:tcW w:w="7655" w:type="dxa"/>
            <w:shd w:val="clear" w:color="auto" w:fill="auto"/>
            <w:noWrap/>
          </w:tcPr>
          <w:p w14:paraId="585FB5A6" w14:textId="77777777" w:rsidR="000A3E48" w:rsidRPr="00387137" w:rsidRDefault="000A3E48" w:rsidP="00387137">
            <w:r w:rsidRPr="00387137">
              <w:t>Preinstalowany, 64-bitowy system operacyjny MS Windows 10 Pro. w wersji PL, nie wymagający podawania klucza licencyjnego podczas instalacji. Klucz zaszyty trwale w BIOS na etapie produkcji komputera I automatycznie pobierany przez  Instalowane oprogramowanie. Dołączony nośnik z oprogramowaniem.</w:t>
            </w:r>
          </w:p>
          <w:p w14:paraId="6AC8978A" w14:textId="77777777" w:rsidR="000A3E48" w:rsidRPr="00387137" w:rsidRDefault="000A3E48" w:rsidP="00387137">
            <w:r w:rsidRPr="00387137">
              <w:t xml:space="preserve">Pakiet oprogramowania biurowego Microsoft Office Home and Business lub równoważny. </w:t>
            </w:r>
          </w:p>
          <w:p w14:paraId="2C6A7B1A" w14:textId="77777777" w:rsidR="000A3E48" w:rsidRPr="00387137" w:rsidRDefault="000A3E48" w:rsidP="00387137">
            <w:r w:rsidRPr="00387137">
              <w:t xml:space="preserve">Wbudowane porty: nie mniej niż  10  portów  wyprowadzonych  na  zewnątrz  komputera: nie mniej niż 4 z przodu obudowy w tym 1x USB 3.1 i 1x USB 3.1 TYP-C  i   6 z tyłu w tym 4 x USB 3.1, port sieciowy RJ-45, porty słuchawek i mikrofonu lub port </w:t>
            </w:r>
            <w:proofErr w:type="spellStart"/>
            <w:r w:rsidRPr="00387137">
              <w:t>combo</w:t>
            </w:r>
            <w:proofErr w:type="spellEnd"/>
            <w:r w:rsidRPr="00387137">
              <w:t xml:space="preserve"> na przednim panelu obudowy oraz na tylnym panelu obudowy min. audio out. 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wymaganych w opisie płyty głównej. Wszystkie wymagane porty mają być w sposób stały </w:t>
            </w:r>
            <w:proofErr w:type="spellStart"/>
            <w:r w:rsidRPr="00387137">
              <w:t>zintergowane</w:t>
            </w:r>
            <w:proofErr w:type="spellEnd"/>
            <w:r w:rsidRPr="00387137">
              <w:t xml:space="preserve"> z obudową.</w:t>
            </w:r>
          </w:p>
          <w:p w14:paraId="0C015290" w14:textId="77777777" w:rsidR="000A3E48" w:rsidRPr="00387137" w:rsidRDefault="000A3E48" w:rsidP="00387137">
            <w:r w:rsidRPr="00387137">
              <w:lastRenderedPageBreak/>
              <w:t xml:space="preserve">Karta sieciowa 10/100/1000 Ethernet RJ 45,  zintegrowana  z  płytą  główną,  wspierająca obsługę </w:t>
            </w:r>
            <w:proofErr w:type="spellStart"/>
            <w:r w:rsidRPr="00387137">
              <w:t>WoL</w:t>
            </w:r>
            <w:proofErr w:type="spellEnd"/>
            <w:r w:rsidRPr="00387137">
              <w:t xml:space="preserve"> (funkcja włączana przez użytkownika), PXE 2.1.</w:t>
            </w:r>
          </w:p>
          <w:p w14:paraId="29C9280B" w14:textId="77777777" w:rsidR="000A3E48" w:rsidRPr="00387137" w:rsidRDefault="000A3E48" w:rsidP="00387137"/>
          <w:p w14:paraId="2511FDA6" w14:textId="77777777" w:rsidR="000A3E48" w:rsidRPr="00387137" w:rsidRDefault="000A3E48" w:rsidP="00387137">
            <w:r w:rsidRPr="00387137">
              <w:t xml:space="preserve">Płyta   główna   wyposażona   w  1   niezajęte11 złącze   PCI   Express   x16   3 generacji, 1 niezajęte złącze </w:t>
            </w:r>
            <w:proofErr w:type="spellStart"/>
            <w:r w:rsidRPr="00387137">
              <w:t>PCIe</w:t>
            </w:r>
            <w:proofErr w:type="spellEnd"/>
            <w:r w:rsidRPr="00387137">
              <w:t xml:space="preserve"> x4; 4  złącza  DIMM  z  obsługą  do  32GB  DDR4  pamięci  RAM, nie mniej niż 3 złącza SATA w tym min. 2 złącza w standardzie SATA 3.0 i 1  złącze M.2 PCI-Express 3.0 x4; Zintegrowany z płytą główną kontroler RAID 0 i RAID 1. Wymagana ilość i rozmieszczenie (na płycie głównej) wszystkich wymaganych złącz nie może być osiągnięta w wyniku stosowania konwerterów, przejściówek czy kart rozszerzeń itp. W każdym przypadku opis slotu dotyczy jego przepustowości, a nie tylko długości.</w:t>
            </w:r>
          </w:p>
          <w:p w14:paraId="3E3C8001" w14:textId="77777777" w:rsidR="000A3E48" w:rsidRPr="00387137" w:rsidRDefault="000A3E48" w:rsidP="00387137"/>
          <w:p w14:paraId="320770C5" w14:textId="77777777" w:rsidR="000A3E48" w:rsidRPr="00387137" w:rsidRDefault="000A3E48" w:rsidP="00387137">
            <w:r w:rsidRPr="00387137">
              <w:t>W zestawie z komputerem:</w:t>
            </w:r>
          </w:p>
          <w:p w14:paraId="627DF734" w14:textId="77777777" w:rsidR="000A3E48" w:rsidRPr="00387137" w:rsidRDefault="000A3E48" w:rsidP="00387137">
            <w:r w:rsidRPr="00387137">
              <w:t>Klawiatura USB w układzie US.</w:t>
            </w:r>
          </w:p>
          <w:p w14:paraId="1581643A" w14:textId="77777777" w:rsidR="000A3E48" w:rsidRPr="00387137" w:rsidRDefault="000A3E48" w:rsidP="00387137">
            <w:r w:rsidRPr="00387137">
              <w:t>Mysz optyczna USB z rolką (</w:t>
            </w:r>
            <w:proofErr w:type="spellStart"/>
            <w:r w:rsidRPr="00387137">
              <w:t>scroll</w:t>
            </w:r>
            <w:proofErr w:type="spellEnd"/>
            <w:r w:rsidRPr="00387137">
              <w:t>).</w:t>
            </w:r>
          </w:p>
          <w:p w14:paraId="1FEED2D9" w14:textId="77777777" w:rsidR="000A3E48" w:rsidRPr="00387137" w:rsidRDefault="000A3E48" w:rsidP="00387137">
            <w:r w:rsidRPr="00387137">
              <w:t>Nagrywarka DVD+/-RW.</w:t>
            </w:r>
          </w:p>
          <w:p w14:paraId="281B9724" w14:textId="77777777" w:rsidR="000A3E48" w:rsidRPr="00387137" w:rsidRDefault="000A3E48" w:rsidP="00387137">
            <w:r w:rsidRPr="00387137">
              <w:t>Dołączony nośnik ze sterownikami.</w:t>
            </w:r>
          </w:p>
          <w:p w14:paraId="4581FE6B" w14:textId="77777777" w:rsidR="000A3E48" w:rsidRPr="00387137" w:rsidRDefault="000A3E48" w:rsidP="00387137"/>
          <w:p w14:paraId="270A2D82" w14:textId="77777777" w:rsidR="000A3E48" w:rsidRPr="00387137" w:rsidRDefault="000A3E48" w:rsidP="00387137"/>
        </w:tc>
      </w:tr>
      <w:tr w:rsidR="000A3E48" w:rsidRPr="007B1778" w14:paraId="29C2017F" w14:textId="77777777" w:rsidTr="00387137">
        <w:trPr>
          <w:trHeight w:val="641"/>
          <w:jc w:val="center"/>
        </w:trPr>
        <w:tc>
          <w:tcPr>
            <w:tcW w:w="2263" w:type="dxa"/>
            <w:shd w:val="clear" w:color="auto" w:fill="auto"/>
            <w:noWrap/>
          </w:tcPr>
          <w:p w14:paraId="7C415AC5" w14:textId="77777777" w:rsidR="000A3E48" w:rsidRPr="00387137" w:rsidRDefault="000A3E48" w:rsidP="00387137">
            <w:r w:rsidRPr="00387137">
              <w:lastRenderedPageBreak/>
              <w:t>Monitor</w:t>
            </w:r>
          </w:p>
        </w:tc>
        <w:tc>
          <w:tcPr>
            <w:tcW w:w="7655" w:type="dxa"/>
            <w:shd w:val="clear" w:color="auto" w:fill="auto"/>
            <w:noWrap/>
          </w:tcPr>
          <w:p w14:paraId="72444421" w14:textId="77777777" w:rsidR="000A3E48" w:rsidRPr="007B1778" w:rsidRDefault="000A3E48" w:rsidP="00387137">
            <w:r w:rsidRPr="007B1778">
              <w:t>Monitor musi posiadać minimalne parametry:</w:t>
            </w:r>
          </w:p>
          <w:p w14:paraId="3FF69CE6" w14:textId="77777777" w:rsidR="000A3E48" w:rsidRPr="007B1778" w:rsidRDefault="000A3E48" w:rsidP="00387137">
            <w:r w:rsidRPr="007B1778">
              <w:t>- ekran LCD IPS o przekątnej z przedziału o d  2 2” d o  24”    antyodblaskowy,</w:t>
            </w:r>
          </w:p>
          <w:p w14:paraId="72EE0795" w14:textId="77777777" w:rsidR="000A3E48" w:rsidRPr="007B1778" w:rsidRDefault="000A3E48" w:rsidP="00387137">
            <w:r w:rsidRPr="007B1778">
              <w:t>- plamka max 0,250 mm,</w:t>
            </w:r>
          </w:p>
          <w:p w14:paraId="30A5CBC7" w14:textId="77777777" w:rsidR="000A3E48" w:rsidRPr="007B1778" w:rsidRDefault="000A3E48" w:rsidP="00387137">
            <w:r w:rsidRPr="007B1778">
              <w:t>- czas reakcji matrycy max 6 ms,</w:t>
            </w:r>
          </w:p>
          <w:p w14:paraId="63875374" w14:textId="77777777" w:rsidR="000A3E48" w:rsidRPr="007B1778" w:rsidRDefault="000A3E48" w:rsidP="00387137">
            <w:r w:rsidRPr="007B1778">
              <w:t>- kontrast 1000:1,</w:t>
            </w:r>
          </w:p>
          <w:p w14:paraId="599971E4" w14:textId="77777777" w:rsidR="000A3E48" w:rsidRPr="007B1778" w:rsidRDefault="000A3E48" w:rsidP="00387137">
            <w:r w:rsidRPr="007B1778">
              <w:t>- jasność 250 cd/m²;</w:t>
            </w:r>
          </w:p>
          <w:p w14:paraId="6EB30F1E" w14:textId="77777777" w:rsidR="000A3E48" w:rsidRPr="007B1778" w:rsidRDefault="000A3E48" w:rsidP="00387137">
            <w:r w:rsidRPr="007B1778">
              <w:t>- kąty widzenia min. 178/178 stopni,</w:t>
            </w:r>
          </w:p>
          <w:p w14:paraId="6657E330" w14:textId="77777777" w:rsidR="000A3E48" w:rsidRPr="007B1778" w:rsidRDefault="000A3E48" w:rsidP="00387137">
            <w:r w:rsidRPr="007B1778">
              <w:t xml:space="preserve">- złącza HDMI i </w:t>
            </w:r>
            <w:proofErr w:type="spellStart"/>
            <w:r w:rsidRPr="007B1778">
              <w:t>DisplayPort</w:t>
            </w:r>
            <w:proofErr w:type="spellEnd"/>
            <w:r w:rsidRPr="007B1778">
              <w:t>,</w:t>
            </w:r>
          </w:p>
          <w:p w14:paraId="54B39ADA" w14:textId="77777777" w:rsidR="000A3E48" w:rsidRPr="007B1778" w:rsidRDefault="000A3E48" w:rsidP="00387137">
            <w:r w:rsidRPr="007B1778">
              <w:t xml:space="preserve">- rozdzielczość min. 1920 x 1080 </w:t>
            </w:r>
            <w:proofErr w:type="spellStart"/>
            <w:r w:rsidRPr="007B1778">
              <w:t>px</w:t>
            </w:r>
            <w:proofErr w:type="spellEnd"/>
            <w:r w:rsidRPr="007B1778">
              <w:t>,</w:t>
            </w:r>
          </w:p>
          <w:p w14:paraId="0948850D" w14:textId="77777777" w:rsidR="000A3E48" w:rsidRPr="007B1778" w:rsidRDefault="000A3E48" w:rsidP="00387137">
            <w:r w:rsidRPr="007B1778">
              <w:t xml:space="preserve">- wszystkie funkcjonalności ergonomiczne (regulacja wysokości oraz </w:t>
            </w:r>
            <w:proofErr w:type="spellStart"/>
            <w:r w:rsidRPr="007B1778">
              <w:t>pivot</w:t>
            </w:r>
            <w:proofErr w:type="spellEnd"/>
            <w:r w:rsidRPr="007B1778">
              <w:t>) monitor musi osiągać po instalacji na dedykowanym standzie integrującym wymienionym w punkcie "Obudowa" i opisanym w dziale „Ergonomia”.</w:t>
            </w:r>
          </w:p>
          <w:p w14:paraId="3E24EDC2" w14:textId="77777777" w:rsidR="000A3E48" w:rsidRPr="00387137" w:rsidRDefault="000A3E48" w:rsidP="00387137"/>
        </w:tc>
      </w:tr>
    </w:tbl>
    <w:p w14:paraId="12C02CB2" w14:textId="77777777" w:rsidR="000A3E48" w:rsidRPr="00387137" w:rsidRDefault="000A3E48" w:rsidP="000A3E48"/>
    <w:p w14:paraId="717F6E0C" w14:textId="77777777" w:rsidR="000A3E48" w:rsidRPr="00387137" w:rsidRDefault="000A3E48" w:rsidP="000A3E48"/>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70"/>
        <w:gridCol w:w="7648"/>
      </w:tblGrid>
      <w:tr w:rsidR="000A3E48" w:rsidRPr="007B1778" w14:paraId="60735515" w14:textId="77777777" w:rsidTr="00387137">
        <w:trPr>
          <w:jc w:val="center"/>
        </w:trPr>
        <w:tc>
          <w:tcPr>
            <w:tcW w:w="9918" w:type="dxa"/>
            <w:gridSpan w:val="2"/>
            <w:shd w:val="clear" w:color="auto" w:fill="ED7D31"/>
            <w:noWrap/>
            <w:vAlign w:val="center"/>
          </w:tcPr>
          <w:p w14:paraId="40ADA3D7" w14:textId="77777777" w:rsidR="000A3E48" w:rsidRPr="00387137" w:rsidRDefault="000A3E48" w:rsidP="00387137">
            <w:r w:rsidRPr="00387137">
              <w:t>Monochromatyczna drukarka laserowa A4 – 2 sztuk</w:t>
            </w:r>
          </w:p>
        </w:tc>
      </w:tr>
      <w:tr w:rsidR="000A3E48" w:rsidRPr="007B1778" w14:paraId="572B792C" w14:textId="77777777" w:rsidTr="00387137">
        <w:trPr>
          <w:jc w:val="center"/>
        </w:trPr>
        <w:tc>
          <w:tcPr>
            <w:tcW w:w="2270" w:type="dxa"/>
            <w:shd w:val="clear" w:color="auto" w:fill="ED7D31"/>
            <w:noWrap/>
            <w:vAlign w:val="center"/>
          </w:tcPr>
          <w:p w14:paraId="4393E8A3" w14:textId="77777777" w:rsidR="000A3E48" w:rsidRPr="00387137" w:rsidRDefault="000A3E48" w:rsidP="00387137">
            <w:r w:rsidRPr="00387137">
              <w:t>Nazwa podzespołu</w:t>
            </w:r>
          </w:p>
        </w:tc>
        <w:tc>
          <w:tcPr>
            <w:tcW w:w="7648" w:type="dxa"/>
            <w:shd w:val="clear" w:color="auto" w:fill="ED7D31"/>
            <w:noWrap/>
            <w:vAlign w:val="center"/>
          </w:tcPr>
          <w:p w14:paraId="1C507F2C" w14:textId="77777777" w:rsidR="000A3E48" w:rsidRPr="00387137" w:rsidRDefault="000A3E48" w:rsidP="00387137">
            <w:r w:rsidRPr="00387137">
              <w:t>Minimalne wymagania parametry</w:t>
            </w:r>
          </w:p>
        </w:tc>
      </w:tr>
      <w:tr w:rsidR="000A3E48" w:rsidRPr="007B1778" w14:paraId="633560E6" w14:textId="77777777" w:rsidTr="00387137">
        <w:trPr>
          <w:jc w:val="center"/>
        </w:trPr>
        <w:tc>
          <w:tcPr>
            <w:tcW w:w="2270" w:type="dxa"/>
            <w:shd w:val="clear" w:color="auto" w:fill="auto"/>
            <w:noWrap/>
            <w:vAlign w:val="center"/>
          </w:tcPr>
          <w:p w14:paraId="39D4840C" w14:textId="77777777" w:rsidR="000A3E48" w:rsidRPr="00387137" w:rsidRDefault="000A3E48" w:rsidP="00387137">
            <w:r w:rsidRPr="00387137">
              <w:t>Szybkość drukowania w A4</w:t>
            </w:r>
          </w:p>
        </w:tc>
        <w:tc>
          <w:tcPr>
            <w:tcW w:w="7648" w:type="dxa"/>
            <w:shd w:val="clear" w:color="auto" w:fill="auto"/>
            <w:noWrap/>
            <w:vAlign w:val="center"/>
          </w:tcPr>
          <w:p w14:paraId="28DA8BE4" w14:textId="77777777" w:rsidR="000A3E48" w:rsidRPr="00387137" w:rsidRDefault="000A3E48" w:rsidP="00387137">
            <w:r w:rsidRPr="00387137">
              <w:t>33 str./min mono</w:t>
            </w:r>
          </w:p>
        </w:tc>
      </w:tr>
      <w:tr w:rsidR="000A3E48" w:rsidRPr="007B1778" w14:paraId="24B607DC" w14:textId="77777777" w:rsidTr="00387137">
        <w:trPr>
          <w:jc w:val="center"/>
        </w:trPr>
        <w:tc>
          <w:tcPr>
            <w:tcW w:w="2270" w:type="dxa"/>
            <w:shd w:val="clear" w:color="auto" w:fill="auto"/>
            <w:noWrap/>
            <w:vAlign w:val="center"/>
          </w:tcPr>
          <w:p w14:paraId="11D344CE" w14:textId="77777777" w:rsidR="000A3E48" w:rsidRPr="00387137" w:rsidRDefault="000A3E48" w:rsidP="00387137">
            <w:r w:rsidRPr="00387137">
              <w:t>Czas pierwszego wydruku</w:t>
            </w:r>
          </w:p>
        </w:tc>
        <w:tc>
          <w:tcPr>
            <w:tcW w:w="7648" w:type="dxa"/>
            <w:shd w:val="clear" w:color="auto" w:fill="auto"/>
            <w:noWrap/>
            <w:vAlign w:val="center"/>
          </w:tcPr>
          <w:p w14:paraId="71033FDD" w14:textId="77777777" w:rsidR="000A3E48" w:rsidRPr="00387137" w:rsidRDefault="000A3E48" w:rsidP="00387137">
            <w:r w:rsidRPr="00387137">
              <w:t>do 10 sekund</w:t>
            </w:r>
          </w:p>
        </w:tc>
      </w:tr>
      <w:tr w:rsidR="000A3E48" w:rsidRPr="007B1778" w14:paraId="6D428C6D" w14:textId="77777777" w:rsidTr="00387137">
        <w:trPr>
          <w:jc w:val="center"/>
        </w:trPr>
        <w:tc>
          <w:tcPr>
            <w:tcW w:w="2270" w:type="dxa"/>
            <w:shd w:val="clear" w:color="auto" w:fill="auto"/>
            <w:noWrap/>
            <w:vAlign w:val="center"/>
          </w:tcPr>
          <w:p w14:paraId="76583F16" w14:textId="77777777" w:rsidR="000A3E48" w:rsidRPr="00387137" w:rsidRDefault="000A3E48" w:rsidP="00387137">
            <w:r w:rsidRPr="00387137">
              <w:t>Rozdzielczość drukowania</w:t>
            </w:r>
          </w:p>
        </w:tc>
        <w:tc>
          <w:tcPr>
            <w:tcW w:w="7648" w:type="dxa"/>
            <w:shd w:val="clear" w:color="auto" w:fill="auto"/>
            <w:noWrap/>
            <w:vAlign w:val="center"/>
          </w:tcPr>
          <w:p w14:paraId="327929BA" w14:textId="77777777" w:rsidR="000A3E48" w:rsidRPr="00387137" w:rsidRDefault="000A3E48" w:rsidP="00387137">
            <w:r w:rsidRPr="00387137">
              <w:t xml:space="preserve">1200 x 1200 </w:t>
            </w:r>
            <w:proofErr w:type="spellStart"/>
            <w:r w:rsidRPr="00387137">
              <w:t>dpi</w:t>
            </w:r>
            <w:proofErr w:type="spellEnd"/>
          </w:p>
        </w:tc>
      </w:tr>
      <w:tr w:rsidR="000A3E48" w:rsidRPr="007B1778" w14:paraId="6941EABA" w14:textId="77777777" w:rsidTr="00387137">
        <w:trPr>
          <w:jc w:val="center"/>
        </w:trPr>
        <w:tc>
          <w:tcPr>
            <w:tcW w:w="2270" w:type="dxa"/>
            <w:shd w:val="clear" w:color="auto" w:fill="auto"/>
            <w:noWrap/>
            <w:vAlign w:val="center"/>
          </w:tcPr>
          <w:p w14:paraId="2D1212DB" w14:textId="77777777" w:rsidR="000A3E48" w:rsidRPr="00387137" w:rsidRDefault="000A3E48" w:rsidP="00387137">
            <w:r w:rsidRPr="00387137">
              <w:t>Pamięć (RAM)</w:t>
            </w:r>
          </w:p>
        </w:tc>
        <w:tc>
          <w:tcPr>
            <w:tcW w:w="7648" w:type="dxa"/>
            <w:shd w:val="clear" w:color="auto" w:fill="auto"/>
            <w:noWrap/>
            <w:vAlign w:val="center"/>
          </w:tcPr>
          <w:p w14:paraId="296A2CB5" w14:textId="77777777" w:rsidR="000A3E48" w:rsidRPr="00387137" w:rsidRDefault="000A3E48" w:rsidP="00387137">
            <w:r w:rsidRPr="00387137">
              <w:t>co najmniej 128 MB z możliwością rozbudowy do 512MB</w:t>
            </w:r>
          </w:p>
        </w:tc>
      </w:tr>
      <w:tr w:rsidR="000A3E48" w:rsidRPr="007B1778" w14:paraId="1A645A2C" w14:textId="77777777" w:rsidTr="00387137">
        <w:trPr>
          <w:jc w:val="center"/>
        </w:trPr>
        <w:tc>
          <w:tcPr>
            <w:tcW w:w="2270" w:type="dxa"/>
            <w:shd w:val="clear" w:color="auto" w:fill="auto"/>
            <w:noWrap/>
            <w:vAlign w:val="center"/>
          </w:tcPr>
          <w:p w14:paraId="20D6CCA5" w14:textId="77777777" w:rsidR="000A3E48" w:rsidRPr="00387137" w:rsidRDefault="000A3E48" w:rsidP="00387137">
            <w:r w:rsidRPr="00387137">
              <w:t>Szybkość procesora</w:t>
            </w:r>
          </w:p>
        </w:tc>
        <w:tc>
          <w:tcPr>
            <w:tcW w:w="7648" w:type="dxa"/>
            <w:shd w:val="clear" w:color="auto" w:fill="auto"/>
            <w:noWrap/>
            <w:vAlign w:val="center"/>
          </w:tcPr>
          <w:p w14:paraId="6B759F12" w14:textId="77777777" w:rsidR="000A3E48" w:rsidRPr="00387137" w:rsidRDefault="000A3E48" w:rsidP="00387137">
            <w:r w:rsidRPr="00387137">
              <w:t>co najmniej 650 MHz</w:t>
            </w:r>
          </w:p>
        </w:tc>
      </w:tr>
      <w:tr w:rsidR="000A3E48" w:rsidRPr="007B1778" w14:paraId="7A4D1795" w14:textId="77777777" w:rsidTr="00387137">
        <w:trPr>
          <w:jc w:val="center"/>
        </w:trPr>
        <w:tc>
          <w:tcPr>
            <w:tcW w:w="2270" w:type="dxa"/>
            <w:shd w:val="clear" w:color="auto" w:fill="auto"/>
            <w:noWrap/>
            <w:vAlign w:val="center"/>
          </w:tcPr>
          <w:p w14:paraId="16E3FB5D" w14:textId="77777777" w:rsidR="000A3E48" w:rsidRPr="00387137" w:rsidRDefault="000A3E48" w:rsidP="00387137">
            <w:r w:rsidRPr="00387137">
              <w:t>Języki druku</w:t>
            </w:r>
          </w:p>
        </w:tc>
        <w:tc>
          <w:tcPr>
            <w:tcW w:w="7648" w:type="dxa"/>
            <w:shd w:val="clear" w:color="auto" w:fill="auto"/>
            <w:noWrap/>
            <w:vAlign w:val="center"/>
          </w:tcPr>
          <w:p w14:paraId="432EED29" w14:textId="77777777" w:rsidR="000A3E48" w:rsidRPr="00387137" w:rsidRDefault="000A3E48" w:rsidP="00387137">
            <w:r w:rsidRPr="00387137">
              <w:t xml:space="preserve">co najmniej emulacja PCL5e, PCL6, PDF (v1.7), </w:t>
            </w:r>
            <w:proofErr w:type="spellStart"/>
            <w:r w:rsidRPr="00387137">
              <w:t>PostScript</w:t>
            </w:r>
            <w:proofErr w:type="spellEnd"/>
            <w:r w:rsidRPr="00387137">
              <w:t xml:space="preserve"> 3</w:t>
            </w:r>
          </w:p>
        </w:tc>
      </w:tr>
      <w:tr w:rsidR="000A3E48" w:rsidRPr="007B1778" w14:paraId="4D94F1F1" w14:textId="77777777" w:rsidTr="00387137">
        <w:trPr>
          <w:jc w:val="center"/>
        </w:trPr>
        <w:tc>
          <w:tcPr>
            <w:tcW w:w="2270" w:type="dxa"/>
            <w:shd w:val="clear" w:color="auto" w:fill="auto"/>
            <w:noWrap/>
            <w:vAlign w:val="center"/>
          </w:tcPr>
          <w:p w14:paraId="7A8E9939" w14:textId="77777777" w:rsidR="000A3E48" w:rsidRPr="00387137" w:rsidRDefault="000A3E48" w:rsidP="00387137">
            <w:r w:rsidRPr="00387137">
              <w:t>Drukowanie dwustronne</w:t>
            </w:r>
          </w:p>
        </w:tc>
        <w:tc>
          <w:tcPr>
            <w:tcW w:w="7648" w:type="dxa"/>
            <w:shd w:val="clear" w:color="auto" w:fill="auto"/>
            <w:noWrap/>
            <w:vAlign w:val="center"/>
          </w:tcPr>
          <w:p w14:paraId="4B9927B4" w14:textId="77777777" w:rsidR="000A3E48" w:rsidRPr="00387137" w:rsidRDefault="000A3E48" w:rsidP="00387137">
            <w:r w:rsidRPr="00387137">
              <w:t>automatyczne</w:t>
            </w:r>
          </w:p>
        </w:tc>
      </w:tr>
      <w:tr w:rsidR="000A3E48" w:rsidRPr="007B1778" w14:paraId="1717A15A" w14:textId="77777777" w:rsidTr="00387137">
        <w:trPr>
          <w:jc w:val="center"/>
        </w:trPr>
        <w:tc>
          <w:tcPr>
            <w:tcW w:w="2270" w:type="dxa"/>
            <w:shd w:val="clear" w:color="auto" w:fill="auto"/>
            <w:noWrap/>
            <w:vAlign w:val="center"/>
          </w:tcPr>
          <w:p w14:paraId="66128450" w14:textId="77777777" w:rsidR="000A3E48" w:rsidRPr="00387137" w:rsidRDefault="000A3E48" w:rsidP="00387137">
            <w:r w:rsidRPr="00387137">
              <w:t>Złącza</w:t>
            </w:r>
          </w:p>
        </w:tc>
        <w:tc>
          <w:tcPr>
            <w:tcW w:w="7648" w:type="dxa"/>
            <w:shd w:val="clear" w:color="auto" w:fill="auto"/>
            <w:noWrap/>
            <w:vAlign w:val="center"/>
          </w:tcPr>
          <w:p w14:paraId="6F6AE220" w14:textId="77777777" w:rsidR="000A3E48" w:rsidRPr="00387137" w:rsidRDefault="000A3E48" w:rsidP="00387137">
            <w:r w:rsidRPr="00387137">
              <w:t>Port USB 2.0</w:t>
            </w:r>
          </w:p>
          <w:p w14:paraId="7271E97F" w14:textId="77777777" w:rsidR="000A3E48" w:rsidRPr="00387137" w:rsidRDefault="000A3E48" w:rsidP="00387137">
            <w:r w:rsidRPr="00387137">
              <w:lastRenderedPageBreak/>
              <w:t>Ethernet 10/100BaseTX</w:t>
            </w:r>
          </w:p>
        </w:tc>
      </w:tr>
      <w:tr w:rsidR="000A3E48" w:rsidRPr="007B1778" w14:paraId="52259509" w14:textId="77777777" w:rsidTr="00387137">
        <w:trPr>
          <w:jc w:val="center"/>
        </w:trPr>
        <w:tc>
          <w:tcPr>
            <w:tcW w:w="2270" w:type="dxa"/>
            <w:shd w:val="clear" w:color="auto" w:fill="auto"/>
            <w:noWrap/>
            <w:vAlign w:val="center"/>
          </w:tcPr>
          <w:p w14:paraId="0095C90C" w14:textId="77777777" w:rsidR="000A3E48" w:rsidRPr="00387137" w:rsidRDefault="000A3E48" w:rsidP="00387137">
            <w:r w:rsidRPr="00387137">
              <w:lastRenderedPageBreak/>
              <w:t>Kompatybilność z systemami operacyjnymi</w:t>
            </w:r>
          </w:p>
        </w:tc>
        <w:tc>
          <w:tcPr>
            <w:tcW w:w="7648" w:type="dxa"/>
            <w:shd w:val="clear" w:color="auto" w:fill="auto"/>
            <w:noWrap/>
            <w:vAlign w:val="center"/>
          </w:tcPr>
          <w:p w14:paraId="0D4E928D" w14:textId="77777777" w:rsidR="000A3E48" w:rsidRPr="00387137" w:rsidRDefault="000A3E48" w:rsidP="00387137">
            <w:r w:rsidRPr="00387137">
              <w:t xml:space="preserve">Windows 7 (32-bitowy i 64-bitowy), </w:t>
            </w:r>
          </w:p>
          <w:p w14:paraId="1A58DFC0" w14:textId="77777777" w:rsidR="000A3E48" w:rsidRPr="00387137" w:rsidRDefault="000A3E48" w:rsidP="00387137">
            <w:r w:rsidRPr="00387137">
              <w:t xml:space="preserve">Windows  8/8.1 (32-bitowy i 64-bitowy), </w:t>
            </w:r>
          </w:p>
          <w:p w14:paraId="5E8C9463" w14:textId="77777777" w:rsidR="000A3E48" w:rsidRPr="00387137" w:rsidRDefault="000A3E48" w:rsidP="00387137">
            <w:r w:rsidRPr="00387137">
              <w:t>Windows 10 (32-bitowy i 64-bitowy)</w:t>
            </w:r>
          </w:p>
        </w:tc>
      </w:tr>
      <w:tr w:rsidR="000A3E48" w:rsidRPr="007B1778" w14:paraId="308B0048" w14:textId="77777777" w:rsidTr="00387137">
        <w:trPr>
          <w:trHeight w:val="121"/>
          <w:jc w:val="center"/>
        </w:trPr>
        <w:tc>
          <w:tcPr>
            <w:tcW w:w="2270" w:type="dxa"/>
            <w:shd w:val="clear" w:color="auto" w:fill="auto"/>
            <w:noWrap/>
            <w:vAlign w:val="center"/>
          </w:tcPr>
          <w:p w14:paraId="06D34E31" w14:textId="77777777" w:rsidR="000A3E48" w:rsidRPr="00387137" w:rsidRDefault="000A3E48" w:rsidP="00387137">
            <w:r w:rsidRPr="00387137">
              <w:t>Pojemność papieru</w:t>
            </w:r>
          </w:p>
        </w:tc>
        <w:tc>
          <w:tcPr>
            <w:tcW w:w="7648" w:type="dxa"/>
            <w:shd w:val="clear" w:color="auto" w:fill="auto"/>
            <w:noWrap/>
            <w:vAlign w:val="center"/>
          </w:tcPr>
          <w:p w14:paraId="736B720F" w14:textId="77777777" w:rsidR="000A3E48" w:rsidRPr="00387137" w:rsidRDefault="000A3E48" w:rsidP="00387137">
            <w:r w:rsidRPr="00387137">
              <w:t xml:space="preserve">Podajnik 1: 250 arkuszy 80 g/m2; </w:t>
            </w:r>
          </w:p>
          <w:p w14:paraId="7C03957E" w14:textId="77777777" w:rsidR="000A3E48" w:rsidRPr="00387137" w:rsidRDefault="000A3E48" w:rsidP="00387137">
            <w:r w:rsidRPr="00387137">
              <w:t>Podajnik uniwersalny: 50 arkuszy 80 g/m2;</w:t>
            </w:r>
          </w:p>
        </w:tc>
      </w:tr>
      <w:tr w:rsidR="000A3E48" w:rsidRPr="007B1778" w14:paraId="3C68BD30" w14:textId="77777777" w:rsidTr="00387137">
        <w:trPr>
          <w:jc w:val="center"/>
        </w:trPr>
        <w:tc>
          <w:tcPr>
            <w:tcW w:w="2270" w:type="dxa"/>
            <w:shd w:val="clear" w:color="auto" w:fill="auto"/>
            <w:noWrap/>
            <w:vAlign w:val="center"/>
          </w:tcPr>
          <w:p w14:paraId="5F968739" w14:textId="77777777" w:rsidR="000A3E48" w:rsidRPr="00387137" w:rsidRDefault="000A3E48" w:rsidP="00387137">
            <w:r w:rsidRPr="00387137">
              <w:t>Format papieru</w:t>
            </w:r>
          </w:p>
        </w:tc>
        <w:tc>
          <w:tcPr>
            <w:tcW w:w="7648" w:type="dxa"/>
            <w:shd w:val="clear" w:color="auto" w:fill="auto"/>
            <w:noWrap/>
            <w:vAlign w:val="center"/>
          </w:tcPr>
          <w:p w14:paraId="2CCE70F9" w14:textId="77777777" w:rsidR="000A3E48" w:rsidRPr="00387137" w:rsidRDefault="000A3E48" w:rsidP="00387137">
            <w:r w:rsidRPr="00387137">
              <w:t>Podajnik 1: A4, A5, B5, A6.</w:t>
            </w:r>
          </w:p>
          <w:p w14:paraId="06D0BD14" w14:textId="77777777" w:rsidR="000A3E48" w:rsidRPr="00387137" w:rsidRDefault="000A3E48" w:rsidP="00387137">
            <w:r w:rsidRPr="00387137">
              <w:t>Podajnik uniwersalny: A4, A5, B5, A6, C5, C6.</w:t>
            </w:r>
          </w:p>
          <w:p w14:paraId="10F259B9" w14:textId="77777777" w:rsidR="000A3E48" w:rsidRPr="00387137" w:rsidRDefault="000A3E48" w:rsidP="00387137">
            <w:r w:rsidRPr="00387137">
              <w:t>Druk dwustronny: A4, B5</w:t>
            </w:r>
          </w:p>
        </w:tc>
      </w:tr>
      <w:tr w:rsidR="000A3E48" w:rsidRPr="007B1778" w14:paraId="548E19B4" w14:textId="77777777" w:rsidTr="00387137">
        <w:trPr>
          <w:jc w:val="center"/>
        </w:trPr>
        <w:tc>
          <w:tcPr>
            <w:tcW w:w="2270" w:type="dxa"/>
            <w:shd w:val="clear" w:color="auto" w:fill="auto"/>
            <w:noWrap/>
            <w:vAlign w:val="center"/>
          </w:tcPr>
          <w:p w14:paraId="192EB002" w14:textId="77777777" w:rsidR="000A3E48" w:rsidRPr="00387137" w:rsidRDefault="000A3E48" w:rsidP="00387137">
            <w:r w:rsidRPr="00387137">
              <w:t>Gramatura papieru</w:t>
            </w:r>
          </w:p>
        </w:tc>
        <w:tc>
          <w:tcPr>
            <w:tcW w:w="7648" w:type="dxa"/>
            <w:shd w:val="clear" w:color="auto" w:fill="auto"/>
            <w:noWrap/>
            <w:vAlign w:val="center"/>
          </w:tcPr>
          <w:p w14:paraId="2F2300D6" w14:textId="77777777" w:rsidR="000A3E48" w:rsidRPr="00387137" w:rsidRDefault="000A3E48" w:rsidP="00387137">
            <w:r w:rsidRPr="00387137">
              <w:t xml:space="preserve">Podajnik 1:  60 – 120 g/m2; </w:t>
            </w:r>
          </w:p>
          <w:p w14:paraId="6CE3EFDA" w14:textId="77777777" w:rsidR="000A3E48" w:rsidRPr="00387137" w:rsidRDefault="000A3E48" w:rsidP="00387137">
            <w:r w:rsidRPr="00387137">
              <w:t xml:space="preserve">Druk dwustronny: 60 – 120 g/m2; </w:t>
            </w:r>
          </w:p>
          <w:p w14:paraId="7F755D6D" w14:textId="77777777" w:rsidR="000A3E48" w:rsidRPr="00387137" w:rsidRDefault="000A3E48" w:rsidP="00387137">
            <w:r w:rsidRPr="00387137">
              <w:t>Podajnik uniwersalny: 60 – 163 g/m2</w:t>
            </w:r>
          </w:p>
        </w:tc>
      </w:tr>
      <w:tr w:rsidR="000A3E48" w:rsidRPr="007B1778" w14:paraId="11FC19B6" w14:textId="77777777" w:rsidTr="00387137">
        <w:trPr>
          <w:jc w:val="center"/>
        </w:trPr>
        <w:tc>
          <w:tcPr>
            <w:tcW w:w="22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CF903" w14:textId="77777777" w:rsidR="000A3E48" w:rsidRPr="00387137" w:rsidRDefault="000A3E48" w:rsidP="00387137">
            <w:r w:rsidRPr="00387137">
              <w:t>Odbiornik papieru</w:t>
            </w:r>
          </w:p>
        </w:tc>
        <w:tc>
          <w:tcPr>
            <w:tcW w:w="764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69D423" w14:textId="77777777" w:rsidR="000A3E48" w:rsidRPr="00387137" w:rsidRDefault="000A3E48" w:rsidP="00387137">
            <w:r w:rsidRPr="00387137">
              <w:t>co najmniej 150 arkuszy stroną zadrukowaną do dołu</w:t>
            </w:r>
          </w:p>
        </w:tc>
      </w:tr>
      <w:tr w:rsidR="000A3E48" w:rsidRPr="007B1778" w14:paraId="6B84C89A" w14:textId="77777777" w:rsidTr="00387137">
        <w:trPr>
          <w:trHeight w:val="641"/>
          <w:jc w:val="center"/>
        </w:trPr>
        <w:tc>
          <w:tcPr>
            <w:tcW w:w="2270" w:type="dxa"/>
            <w:shd w:val="clear" w:color="auto" w:fill="auto"/>
            <w:noWrap/>
            <w:vAlign w:val="center"/>
          </w:tcPr>
          <w:p w14:paraId="0F730A2D" w14:textId="77777777" w:rsidR="000A3E48" w:rsidRPr="00387137" w:rsidRDefault="000A3E48" w:rsidP="00387137">
            <w:r w:rsidRPr="00387137">
              <w:t>Obciążenie</w:t>
            </w:r>
          </w:p>
        </w:tc>
        <w:tc>
          <w:tcPr>
            <w:tcW w:w="7648" w:type="dxa"/>
            <w:shd w:val="clear" w:color="auto" w:fill="auto"/>
            <w:noWrap/>
            <w:vAlign w:val="center"/>
          </w:tcPr>
          <w:p w14:paraId="4B5A1685" w14:textId="77777777" w:rsidR="000A3E48" w:rsidRPr="00387137" w:rsidRDefault="000A3E48" w:rsidP="00387137">
            <w:r w:rsidRPr="00387137">
              <w:t>maksymalne - co najmniej 50 000 stron miesięcznie</w:t>
            </w:r>
          </w:p>
          <w:p w14:paraId="5A1ED2AB" w14:textId="77777777" w:rsidR="000A3E48" w:rsidRPr="00387137" w:rsidRDefault="000A3E48" w:rsidP="00387137">
            <w:r w:rsidRPr="00387137">
              <w:t>zalecane – co najmniej 4 000 stron miesięcznie</w:t>
            </w:r>
          </w:p>
        </w:tc>
      </w:tr>
      <w:tr w:rsidR="000A3E48" w:rsidRPr="007B1778" w14:paraId="172BFBB1" w14:textId="77777777" w:rsidTr="00387137">
        <w:trPr>
          <w:trHeight w:val="641"/>
          <w:jc w:val="center"/>
        </w:trPr>
        <w:tc>
          <w:tcPr>
            <w:tcW w:w="2270" w:type="dxa"/>
            <w:shd w:val="clear" w:color="auto" w:fill="auto"/>
            <w:noWrap/>
            <w:vAlign w:val="center"/>
          </w:tcPr>
          <w:p w14:paraId="6010BE05" w14:textId="77777777" w:rsidR="000A3E48" w:rsidRPr="00387137" w:rsidRDefault="000A3E48" w:rsidP="00387137">
            <w:r w:rsidRPr="00387137">
              <w:t>Materiały eksploatacyjne:</w:t>
            </w:r>
          </w:p>
        </w:tc>
        <w:tc>
          <w:tcPr>
            <w:tcW w:w="7648" w:type="dxa"/>
            <w:shd w:val="clear" w:color="auto" w:fill="auto"/>
            <w:noWrap/>
            <w:vAlign w:val="center"/>
          </w:tcPr>
          <w:p w14:paraId="7D56AC3D" w14:textId="77777777" w:rsidR="000A3E48" w:rsidRPr="00387137" w:rsidRDefault="000A3E48" w:rsidP="00387137">
            <w:r w:rsidRPr="00387137">
              <w:t>Wymagana rozdzielność bębna i tonera.</w:t>
            </w:r>
          </w:p>
          <w:p w14:paraId="011AABFB" w14:textId="77777777" w:rsidR="000A3E48" w:rsidRPr="00387137" w:rsidRDefault="000A3E48" w:rsidP="00387137">
            <w:r w:rsidRPr="00387137">
              <w:t>Toner startowy o min. wydajności 2 000 stron (liczba stron A4 w druku zgodnym z ISO/ISC 19752)</w:t>
            </w:r>
          </w:p>
          <w:p w14:paraId="77446D8F" w14:textId="77777777" w:rsidR="000A3E48" w:rsidRPr="00387137" w:rsidRDefault="000A3E48" w:rsidP="00387137"/>
        </w:tc>
      </w:tr>
    </w:tbl>
    <w:p w14:paraId="0D63742B" w14:textId="77777777" w:rsidR="000A3E48" w:rsidRPr="00387137" w:rsidRDefault="000A3E48" w:rsidP="000A3E48"/>
    <w:tbl>
      <w:tblPr>
        <w:tblW w:w="99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87"/>
        <w:gridCol w:w="7619"/>
      </w:tblGrid>
      <w:tr w:rsidR="000A3E48" w:rsidRPr="007B1778" w14:paraId="46849B80" w14:textId="77777777" w:rsidTr="00387137">
        <w:trPr>
          <w:jc w:val="center"/>
        </w:trPr>
        <w:tc>
          <w:tcPr>
            <w:tcW w:w="9906" w:type="dxa"/>
            <w:gridSpan w:val="2"/>
            <w:shd w:val="clear" w:color="auto" w:fill="ED7D31"/>
            <w:noWrap/>
            <w:vAlign w:val="center"/>
          </w:tcPr>
          <w:p w14:paraId="3B6C584F" w14:textId="77777777" w:rsidR="000A3E48" w:rsidRPr="00387137" w:rsidRDefault="000A3E48" w:rsidP="00387137">
            <w:r w:rsidRPr="00387137">
              <w:t>Urządzenie wielofunkcyjne  – 1 sztuka</w:t>
            </w:r>
          </w:p>
        </w:tc>
      </w:tr>
      <w:tr w:rsidR="000A3E48" w:rsidRPr="007B1778" w14:paraId="7E4FD303" w14:textId="77777777" w:rsidTr="00387137">
        <w:trPr>
          <w:jc w:val="center"/>
        </w:trPr>
        <w:tc>
          <w:tcPr>
            <w:tcW w:w="2287" w:type="dxa"/>
            <w:shd w:val="clear" w:color="auto" w:fill="ED7D31"/>
            <w:noWrap/>
            <w:vAlign w:val="center"/>
          </w:tcPr>
          <w:p w14:paraId="684E5E4E" w14:textId="77777777" w:rsidR="000A3E48" w:rsidRPr="00387137" w:rsidRDefault="000A3E48" w:rsidP="00387137">
            <w:r w:rsidRPr="00387137">
              <w:t>Nazwa składnika/parametru technicznego</w:t>
            </w:r>
          </w:p>
        </w:tc>
        <w:tc>
          <w:tcPr>
            <w:tcW w:w="7619" w:type="dxa"/>
            <w:shd w:val="clear" w:color="auto" w:fill="ED7D31"/>
            <w:noWrap/>
            <w:vAlign w:val="center"/>
          </w:tcPr>
          <w:p w14:paraId="2184CA41" w14:textId="77777777" w:rsidR="000A3E48" w:rsidRPr="00387137" w:rsidRDefault="000A3E48" w:rsidP="00387137">
            <w:r w:rsidRPr="00387137">
              <w:t xml:space="preserve">Minimalne wymagania w zakresie parametrów technicznych </w:t>
            </w:r>
          </w:p>
        </w:tc>
      </w:tr>
      <w:tr w:rsidR="000A3E48" w:rsidRPr="007B1778" w14:paraId="3751E2B8" w14:textId="77777777" w:rsidTr="00387137">
        <w:trPr>
          <w:jc w:val="center"/>
        </w:trPr>
        <w:tc>
          <w:tcPr>
            <w:tcW w:w="2287" w:type="dxa"/>
            <w:shd w:val="clear" w:color="auto" w:fill="auto"/>
            <w:noWrap/>
            <w:vAlign w:val="center"/>
          </w:tcPr>
          <w:p w14:paraId="575F0B28" w14:textId="77777777" w:rsidR="000A3E48" w:rsidRPr="00387137" w:rsidRDefault="000A3E48" w:rsidP="00387137">
            <w:r w:rsidRPr="00387137">
              <w:t>Funkcje urządzenia</w:t>
            </w:r>
          </w:p>
        </w:tc>
        <w:tc>
          <w:tcPr>
            <w:tcW w:w="7619" w:type="dxa"/>
            <w:shd w:val="clear" w:color="auto" w:fill="auto"/>
            <w:noWrap/>
            <w:vAlign w:val="center"/>
          </w:tcPr>
          <w:p w14:paraId="743BDB1D" w14:textId="77777777" w:rsidR="000A3E48" w:rsidRPr="00387137" w:rsidRDefault="000A3E48" w:rsidP="00387137">
            <w:r w:rsidRPr="00387137">
              <w:t>drukarka, kopiarka, skaner, faks</w:t>
            </w:r>
          </w:p>
        </w:tc>
      </w:tr>
      <w:tr w:rsidR="000A3E48" w:rsidRPr="007B1778" w14:paraId="5825593E" w14:textId="77777777" w:rsidTr="00387137">
        <w:trPr>
          <w:jc w:val="center"/>
        </w:trPr>
        <w:tc>
          <w:tcPr>
            <w:tcW w:w="2287" w:type="dxa"/>
            <w:shd w:val="clear" w:color="auto" w:fill="auto"/>
            <w:noWrap/>
            <w:vAlign w:val="center"/>
          </w:tcPr>
          <w:p w14:paraId="5B7377FF" w14:textId="77777777" w:rsidR="000A3E48" w:rsidRPr="00387137" w:rsidRDefault="000A3E48" w:rsidP="00387137">
            <w:r w:rsidRPr="00387137">
              <w:t>Obsługiwane formaty papieru</w:t>
            </w:r>
          </w:p>
        </w:tc>
        <w:tc>
          <w:tcPr>
            <w:tcW w:w="7619" w:type="dxa"/>
            <w:shd w:val="clear" w:color="auto" w:fill="auto"/>
            <w:noWrap/>
            <w:vAlign w:val="center"/>
          </w:tcPr>
          <w:p w14:paraId="77CF5297" w14:textId="77777777" w:rsidR="000A3E48" w:rsidRPr="00387137" w:rsidRDefault="000A3E48" w:rsidP="00387137">
            <w:r w:rsidRPr="00387137">
              <w:t>podajnik 1: A3, A4, A5, A6, B4, B5;</w:t>
            </w:r>
          </w:p>
          <w:p w14:paraId="67A06CB4" w14:textId="77777777" w:rsidR="000A3E48" w:rsidRPr="00387137" w:rsidRDefault="000A3E48" w:rsidP="00387137">
            <w:r w:rsidRPr="00387137">
              <w:t>podajnik 2: A3, A4, A5, B4, B5;</w:t>
            </w:r>
          </w:p>
          <w:p w14:paraId="10772D5B" w14:textId="77777777" w:rsidR="000A3E48" w:rsidRPr="00387137" w:rsidRDefault="000A3E48" w:rsidP="00387137">
            <w:r w:rsidRPr="00387137">
              <w:t xml:space="preserve">podajnik uniwersalny: A3, A4, A5, B4, B5, A6, B6; 11kopert (Com-10, DL, </w:t>
            </w:r>
            <w:proofErr w:type="spellStart"/>
            <w:r w:rsidRPr="00387137">
              <w:t>Monarch</w:t>
            </w:r>
            <w:proofErr w:type="spellEnd"/>
            <w:r w:rsidRPr="00387137">
              <w:t>, C5, C4);</w:t>
            </w:r>
          </w:p>
          <w:p w14:paraId="4713A81E" w14:textId="77777777" w:rsidR="000A3E48" w:rsidRPr="00387137" w:rsidRDefault="000A3E48" w:rsidP="00387137">
            <w:r w:rsidRPr="00387137">
              <w:t>podajnik RADF: A3, A4, A5, A6, B4, B5; druk dwustronny:A3, A4, A5, B4, B5.</w:t>
            </w:r>
          </w:p>
        </w:tc>
      </w:tr>
      <w:tr w:rsidR="000A3E48" w:rsidRPr="007B1778" w14:paraId="10737305" w14:textId="77777777" w:rsidTr="00387137">
        <w:trPr>
          <w:trHeight w:val="633"/>
          <w:jc w:val="center"/>
        </w:trPr>
        <w:tc>
          <w:tcPr>
            <w:tcW w:w="2287" w:type="dxa"/>
            <w:shd w:val="clear" w:color="auto" w:fill="auto"/>
            <w:noWrap/>
            <w:vAlign w:val="center"/>
          </w:tcPr>
          <w:p w14:paraId="2BDD9144" w14:textId="77777777" w:rsidR="000A3E48" w:rsidRPr="00387137" w:rsidRDefault="000A3E48" w:rsidP="00387137">
            <w:r w:rsidRPr="00387137">
              <w:t>Technologia druku</w:t>
            </w:r>
          </w:p>
        </w:tc>
        <w:tc>
          <w:tcPr>
            <w:tcW w:w="7619" w:type="dxa"/>
            <w:shd w:val="clear" w:color="auto" w:fill="auto"/>
            <w:noWrap/>
            <w:vAlign w:val="center"/>
          </w:tcPr>
          <w:p w14:paraId="6E1AAD33" w14:textId="77777777" w:rsidR="000A3E48" w:rsidRPr="00387137" w:rsidRDefault="000A3E48" w:rsidP="00387137">
            <w:r w:rsidRPr="00387137">
              <w:t>laserowa kolorowa</w:t>
            </w:r>
          </w:p>
        </w:tc>
      </w:tr>
      <w:tr w:rsidR="000A3E48" w:rsidRPr="007B1778" w14:paraId="7028FB41" w14:textId="77777777" w:rsidTr="00387137">
        <w:trPr>
          <w:trHeight w:val="633"/>
          <w:jc w:val="center"/>
        </w:trPr>
        <w:tc>
          <w:tcPr>
            <w:tcW w:w="2287" w:type="dxa"/>
            <w:shd w:val="clear" w:color="auto" w:fill="auto"/>
            <w:noWrap/>
            <w:vAlign w:val="center"/>
          </w:tcPr>
          <w:p w14:paraId="3810331A" w14:textId="77777777" w:rsidR="000A3E48" w:rsidRPr="00387137" w:rsidRDefault="000A3E48" w:rsidP="00387137">
            <w:r w:rsidRPr="00387137">
              <w:t>Prędkość druku A4</w:t>
            </w:r>
          </w:p>
        </w:tc>
        <w:tc>
          <w:tcPr>
            <w:tcW w:w="7619" w:type="dxa"/>
            <w:shd w:val="clear" w:color="auto" w:fill="auto"/>
            <w:noWrap/>
            <w:vAlign w:val="center"/>
          </w:tcPr>
          <w:p w14:paraId="60852D55" w14:textId="77777777" w:rsidR="000A3E48" w:rsidRPr="00387137" w:rsidRDefault="000A3E48" w:rsidP="00387137">
            <w:r w:rsidRPr="00387137">
              <w:t xml:space="preserve">do 23 </w:t>
            </w:r>
            <w:proofErr w:type="spellStart"/>
            <w:r w:rsidRPr="00387137">
              <w:t>str</w:t>
            </w:r>
            <w:proofErr w:type="spellEnd"/>
            <w:r w:rsidRPr="00387137">
              <w:t>/min</w:t>
            </w:r>
          </w:p>
        </w:tc>
      </w:tr>
      <w:tr w:rsidR="000A3E48" w:rsidRPr="007B1778" w14:paraId="32D1E97F" w14:textId="77777777" w:rsidTr="00387137">
        <w:trPr>
          <w:trHeight w:val="633"/>
          <w:jc w:val="center"/>
        </w:trPr>
        <w:tc>
          <w:tcPr>
            <w:tcW w:w="2287" w:type="dxa"/>
            <w:shd w:val="clear" w:color="auto" w:fill="auto"/>
            <w:noWrap/>
            <w:vAlign w:val="center"/>
          </w:tcPr>
          <w:p w14:paraId="6F3BE399" w14:textId="77777777" w:rsidR="000A3E48" w:rsidRPr="00387137" w:rsidRDefault="000A3E48" w:rsidP="00387137">
            <w:r w:rsidRPr="00387137">
              <w:t xml:space="preserve">Prędkość druku A3 </w:t>
            </w:r>
          </w:p>
        </w:tc>
        <w:tc>
          <w:tcPr>
            <w:tcW w:w="7619" w:type="dxa"/>
            <w:shd w:val="clear" w:color="auto" w:fill="auto"/>
            <w:noWrap/>
            <w:vAlign w:val="center"/>
          </w:tcPr>
          <w:p w14:paraId="67974F81" w14:textId="77777777" w:rsidR="000A3E48" w:rsidRPr="00387137" w:rsidRDefault="000A3E48" w:rsidP="00387137">
            <w:r w:rsidRPr="00387137">
              <w:t xml:space="preserve">do 13 </w:t>
            </w:r>
            <w:proofErr w:type="spellStart"/>
            <w:r w:rsidRPr="00387137">
              <w:t>str</w:t>
            </w:r>
            <w:proofErr w:type="spellEnd"/>
            <w:r w:rsidRPr="00387137">
              <w:t>/min</w:t>
            </w:r>
          </w:p>
        </w:tc>
      </w:tr>
      <w:tr w:rsidR="000A3E48" w:rsidRPr="007B1778" w14:paraId="1AF7D935" w14:textId="77777777" w:rsidTr="00387137">
        <w:trPr>
          <w:trHeight w:val="1185"/>
          <w:jc w:val="center"/>
        </w:trPr>
        <w:tc>
          <w:tcPr>
            <w:tcW w:w="2287" w:type="dxa"/>
            <w:shd w:val="clear" w:color="auto" w:fill="auto"/>
            <w:noWrap/>
            <w:vAlign w:val="center"/>
          </w:tcPr>
          <w:p w14:paraId="39F77A9D" w14:textId="77777777" w:rsidR="000A3E48" w:rsidRPr="00387137" w:rsidRDefault="000A3E48" w:rsidP="00387137">
            <w:r w:rsidRPr="00387137">
              <w:t xml:space="preserve">Czas wydruku pierwszej strony </w:t>
            </w:r>
          </w:p>
        </w:tc>
        <w:tc>
          <w:tcPr>
            <w:tcW w:w="7619" w:type="dxa"/>
            <w:shd w:val="clear" w:color="auto" w:fill="auto"/>
            <w:noWrap/>
            <w:vAlign w:val="center"/>
          </w:tcPr>
          <w:p w14:paraId="6627ABD4" w14:textId="77777777" w:rsidR="000A3E48" w:rsidRPr="00387137" w:rsidRDefault="000A3E48" w:rsidP="00387137">
            <w:r w:rsidRPr="00387137">
              <w:t>14 s</w:t>
            </w:r>
          </w:p>
        </w:tc>
      </w:tr>
      <w:tr w:rsidR="000A3E48" w:rsidRPr="007B1778" w14:paraId="5CA662E3" w14:textId="77777777" w:rsidTr="00387137">
        <w:trPr>
          <w:trHeight w:val="633"/>
          <w:jc w:val="center"/>
        </w:trPr>
        <w:tc>
          <w:tcPr>
            <w:tcW w:w="2287" w:type="dxa"/>
            <w:shd w:val="clear" w:color="auto" w:fill="auto"/>
            <w:noWrap/>
            <w:vAlign w:val="center"/>
          </w:tcPr>
          <w:p w14:paraId="31547D07" w14:textId="77777777" w:rsidR="000A3E48" w:rsidRPr="00387137" w:rsidRDefault="000A3E48" w:rsidP="00387137">
            <w:r w:rsidRPr="00387137">
              <w:t xml:space="preserve">Rozdzielczość druku </w:t>
            </w:r>
          </w:p>
        </w:tc>
        <w:tc>
          <w:tcPr>
            <w:tcW w:w="7619" w:type="dxa"/>
            <w:shd w:val="clear" w:color="auto" w:fill="auto"/>
            <w:noWrap/>
            <w:vAlign w:val="center"/>
          </w:tcPr>
          <w:p w14:paraId="114D46EB" w14:textId="77777777" w:rsidR="000A3E48" w:rsidRPr="00387137" w:rsidRDefault="000A3E48" w:rsidP="00387137">
            <w:r w:rsidRPr="00387137">
              <w:t xml:space="preserve">1200x1200 </w:t>
            </w:r>
            <w:proofErr w:type="spellStart"/>
            <w:r w:rsidRPr="00387137">
              <w:t>dpi</w:t>
            </w:r>
            <w:proofErr w:type="spellEnd"/>
          </w:p>
        </w:tc>
      </w:tr>
      <w:tr w:rsidR="000A3E48" w:rsidRPr="007B1778" w14:paraId="3BA37B16" w14:textId="77777777" w:rsidTr="00387137">
        <w:trPr>
          <w:trHeight w:val="633"/>
          <w:jc w:val="center"/>
        </w:trPr>
        <w:tc>
          <w:tcPr>
            <w:tcW w:w="2287" w:type="dxa"/>
            <w:shd w:val="clear" w:color="auto" w:fill="auto"/>
            <w:noWrap/>
            <w:vAlign w:val="center"/>
          </w:tcPr>
          <w:p w14:paraId="762C7D2C" w14:textId="77777777" w:rsidR="000A3E48" w:rsidRPr="00387137" w:rsidRDefault="000A3E48" w:rsidP="00387137">
            <w:r w:rsidRPr="00387137">
              <w:t>Automatyczny druk dwustronny</w:t>
            </w:r>
          </w:p>
        </w:tc>
        <w:tc>
          <w:tcPr>
            <w:tcW w:w="7619" w:type="dxa"/>
            <w:shd w:val="clear" w:color="auto" w:fill="auto"/>
            <w:noWrap/>
            <w:vAlign w:val="center"/>
          </w:tcPr>
          <w:p w14:paraId="23CAF19B" w14:textId="77777777" w:rsidR="000A3E48" w:rsidRPr="00387137" w:rsidRDefault="000A3E48" w:rsidP="00387137">
            <w:r w:rsidRPr="00387137">
              <w:t>TAK</w:t>
            </w:r>
          </w:p>
        </w:tc>
      </w:tr>
      <w:tr w:rsidR="000A3E48" w:rsidRPr="007B1778" w14:paraId="6527EA56" w14:textId="77777777" w:rsidTr="00387137">
        <w:trPr>
          <w:trHeight w:val="633"/>
          <w:jc w:val="center"/>
        </w:trPr>
        <w:tc>
          <w:tcPr>
            <w:tcW w:w="2287" w:type="dxa"/>
            <w:shd w:val="clear" w:color="auto" w:fill="auto"/>
            <w:noWrap/>
            <w:vAlign w:val="center"/>
          </w:tcPr>
          <w:p w14:paraId="09B5C22D" w14:textId="77777777" w:rsidR="000A3E48" w:rsidRPr="00387137" w:rsidRDefault="000A3E48" w:rsidP="00387137">
            <w:r w:rsidRPr="00387137">
              <w:t>Skanery</w:t>
            </w:r>
          </w:p>
        </w:tc>
        <w:tc>
          <w:tcPr>
            <w:tcW w:w="7619" w:type="dxa"/>
            <w:shd w:val="clear" w:color="auto" w:fill="auto"/>
            <w:noWrap/>
            <w:vAlign w:val="center"/>
          </w:tcPr>
          <w:p w14:paraId="1CE70141" w14:textId="77777777" w:rsidR="000A3E48" w:rsidRPr="00387137" w:rsidRDefault="000A3E48" w:rsidP="00387137">
            <w:r w:rsidRPr="00387137">
              <w:t xml:space="preserve">płaski i </w:t>
            </w:r>
            <w:proofErr w:type="spellStart"/>
            <w:r w:rsidRPr="00387137">
              <w:t>radf</w:t>
            </w:r>
            <w:proofErr w:type="spellEnd"/>
          </w:p>
        </w:tc>
      </w:tr>
      <w:tr w:rsidR="000A3E48" w:rsidRPr="007B1778" w14:paraId="354D567E" w14:textId="77777777" w:rsidTr="00387137">
        <w:trPr>
          <w:trHeight w:val="633"/>
          <w:jc w:val="center"/>
        </w:trPr>
        <w:tc>
          <w:tcPr>
            <w:tcW w:w="2287" w:type="dxa"/>
            <w:shd w:val="clear" w:color="auto" w:fill="auto"/>
            <w:noWrap/>
            <w:vAlign w:val="center"/>
          </w:tcPr>
          <w:p w14:paraId="4755C945" w14:textId="77777777" w:rsidR="000A3E48" w:rsidRPr="00387137" w:rsidRDefault="000A3E48" w:rsidP="00387137">
            <w:r w:rsidRPr="00387137">
              <w:lastRenderedPageBreak/>
              <w:t>Rozdzielczość optyczna skanowania</w:t>
            </w:r>
          </w:p>
        </w:tc>
        <w:tc>
          <w:tcPr>
            <w:tcW w:w="7619" w:type="dxa"/>
            <w:shd w:val="clear" w:color="auto" w:fill="auto"/>
            <w:noWrap/>
            <w:vAlign w:val="center"/>
          </w:tcPr>
          <w:p w14:paraId="411748B6" w14:textId="77777777" w:rsidR="000A3E48" w:rsidRPr="00387137" w:rsidRDefault="000A3E48" w:rsidP="00387137">
            <w:r w:rsidRPr="00387137">
              <w:t xml:space="preserve">600x600 </w:t>
            </w:r>
            <w:proofErr w:type="spellStart"/>
            <w:r w:rsidRPr="00387137">
              <w:t>dpi</w:t>
            </w:r>
            <w:proofErr w:type="spellEnd"/>
          </w:p>
        </w:tc>
      </w:tr>
      <w:tr w:rsidR="000A3E48" w:rsidRPr="007B1778" w14:paraId="0BAAD2CD" w14:textId="77777777" w:rsidTr="00387137">
        <w:trPr>
          <w:trHeight w:val="633"/>
          <w:jc w:val="center"/>
        </w:trPr>
        <w:tc>
          <w:tcPr>
            <w:tcW w:w="2287" w:type="dxa"/>
            <w:shd w:val="clear" w:color="auto" w:fill="auto"/>
            <w:noWrap/>
            <w:vAlign w:val="center"/>
          </w:tcPr>
          <w:p w14:paraId="72FBFA95" w14:textId="77777777" w:rsidR="000A3E48" w:rsidRPr="00387137" w:rsidRDefault="000A3E48" w:rsidP="00387137">
            <w:r w:rsidRPr="00387137">
              <w:t>Prędkość faksowania</w:t>
            </w:r>
          </w:p>
        </w:tc>
        <w:tc>
          <w:tcPr>
            <w:tcW w:w="7619" w:type="dxa"/>
            <w:shd w:val="clear" w:color="auto" w:fill="auto"/>
            <w:noWrap/>
            <w:vAlign w:val="center"/>
          </w:tcPr>
          <w:p w14:paraId="47C92C07" w14:textId="77777777" w:rsidR="000A3E48" w:rsidRPr="00387137" w:rsidRDefault="000A3E48" w:rsidP="00387137">
            <w:r w:rsidRPr="00387137">
              <w:t xml:space="preserve">33,6 </w:t>
            </w:r>
            <w:proofErr w:type="spellStart"/>
            <w:r w:rsidRPr="00387137">
              <w:t>kbps</w:t>
            </w:r>
            <w:proofErr w:type="spellEnd"/>
          </w:p>
        </w:tc>
      </w:tr>
      <w:tr w:rsidR="000A3E48" w:rsidRPr="007B1778" w14:paraId="12250D58" w14:textId="77777777" w:rsidTr="00387137">
        <w:trPr>
          <w:trHeight w:val="633"/>
          <w:jc w:val="center"/>
        </w:trPr>
        <w:tc>
          <w:tcPr>
            <w:tcW w:w="2287" w:type="dxa"/>
            <w:shd w:val="clear" w:color="auto" w:fill="auto"/>
            <w:noWrap/>
            <w:vAlign w:val="center"/>
          </w:tcPr>
          <w:p w14:paraId="3365B62D" w14:textId="77777777" w:rsidR="000A3E48" w:rsidRPr="00387137" w:rsidRDefault="000A3E48" w:rsidP="00387137">
            <w:r w:rsidRPr="00387137">
              <w:t>Pamięć faksu</w:t>
            </w:r>
          </w:p>
        </w:tc>
        <w:tc>
          <w:tcPr>
            <w:tcW w:w="7619" w:type="dxa"/>
            <w:shd w:val="clear" w:color="auto" w:fill="auto"/>
            <w:noWrap/>
            <w:vAlign w:val="center"/>
          </w:tcPr>
          <w:p w14:paraId="600A9C8F" w14:textId="77777777" w:rsidR="000A3E48" w:rsidRPr="00387137" w:rsidRDefault="000A3E48" w:rsidP="00387137">
            <w:r w:rsidRPr="00387137">
              <w:t xml:space="preserve">500 </w:t>
            </w:r>
            <w:proofErr w:type="spellStart"/>
            <w:r w:rsidRPr="00387137">
              <w:t>str</w:t>
            </w:r>
            <w:proofErr w:type="spellEnd"/>
          </w:p>
        </w:tc>
      </w:tr>
      <w:tr w:rsidR="000A3E48" w:rsidRPr="007B1778" w14:paraId="0A18EBB8" w14:textId="77777777" w:rsidTr="00387137">
        <w:trPr>
          <w:trHeight w:val="633"/>
          <w:jc w:val="center"/>
        </w:trPr>
        <w:tc>
          <w:tcPr>
            <w:tcW w:w="2287" w:type="dxa"/>
            <w:shd w:val="clear" w:color="auto" w:fill="auto"/>
            <w:noWrap/>
            <w:vAlign w:val="center"/>
          </w:tcPr>
          <w:p w14:paraId="327D91F5" w14:textId="77777777" w:rsidR="000A3E48" w:rsidRPr="00387137" w:rsidRDefault="000A3E48" w:rsidP="00387137">
            <w:r w:rsidRPr="00387137">
              <w:t>Funkcje faksu</w:t>
            </w:r>
          </w:p>
        </w:tc>
        <w:tc>
          <w:tcPr>
            <w:tcW w:w="7619" w:type="dxa"/>
            <w:shd w:val="clear" w:color="auto" w:fill="auto"/>
            <w:noWrap/>
            <w:vAlign w:val="center"/>
          </w:tcPr>
          <w:p w14:paraId="16552532" w14:textId="77777777" w:rsidR="000A3E48" w:rsidRPr="00387137" w:rsidRDefault="000A3E48" w:rsidP="00387137">
            <w:r w:rsidRPr="00387137">
              <w:t>faks w kolorze,</w:t>
            </w:r>
          </w:p>
          <w:p w14:paraId="5B80A3B0" w14:textId="77777777" w:rsidR="000A3E48" w:rsidRPr="00387137" w:rsidRDefault="000A3E48" w:rsidP="00387137">
            <w:r w:rsidRPr="00387137">
              <w:t>faks do e-mail,</w:t>
            </w:r>
          </w:p>
          <w:p w14:paraId="71147D70" w14:textId="77777777" w:rsidR="000A3E48" w:rsidRPr="00387137" w:rsidRDefault="000A3E48" w:rsidP="00387137">
            <w:r w:rsidRPr="00387137">
              <w:t>automatyczne powtarzanie numeru,</w:t>
            </w:r>
          </w:p>
          <w:p w14:paraId="3A1D1E1C" w14:textId="77777777" w:rsidR="000A3E48" w:rsidRPr="00387137" w:rsidRDefault="000A3E48" w:rsidP="00387137">
            <w:r w:rsidRPr="00387137">
              <w:t xml:space="preserve">wysyłanie z opóźnieniem </w:t>
            </w:r>
          </w:p>
        </w:tc>
      </w:tr>
      <w:tr w:rsidR="000A3E48" w:rsidRPr="007B1778" w14:paraId="2CF15DC5" w14:textId="77777777" w:rsidTr="00387137">
        <w:trPr>
          <w:trHeight w:val="633"/>
          <w:jc w:val="center"/>
        </w:trPr>
        <w:tc>
          <w:tcPr>
            <w:tcW w:w="2287" w:type="dxa"/>
            <w:shd w:val="clear" w:color="auto" w:fill="auto"/>
            <w:noWrap/>
            <w:vAlign w:val="center"/>
          </w:tcPr>
          <w:p w14:paraId="7917B99F" w14:textId="77777777" w:rsidR="000A3E48" w:rsidRPr="00387137" w:rsidRDefault="000A3E48" w:rsidP="00387137">
            <w:r w:rsidRPr="00387137">
              <w:t>Podajniki papieru</w:t>
            </w:r>
          </w:p>
        </w:tc>
        <w:tc>
          <w:tcPr>
            <w:tcW w:w="7619" w:type="dxa"/>
            <w:shd w:val="clear" w:color="auto" w:fill="auto"/>
            <w:noWrap/>
            <w:vAlign w:val="center"/>
          </w:tcPr>
          <w:p w14:paraId="1E39096A" w14:textId="77777777" w:rsidR="000A3E48" w:rsidRPr="00387137" w:rsidRDefault="000A3E48" w:rsidP="00387137">
            <w:r w:rsidRPr="00387137">
              <w:t>RADF na 100 arkuszy 80 g/m2,</w:t>
            </w:r>
          </w:p>
          <w:p w14:paraId="0D2AFCB4" w14:textId="77777777" w:rsidR="000A3E48" w:rsidRPr="00387137" w:rsidRDefault="000A3E48" w:rsidP="00387137">
            <w:r w:rsidRPr="00387137">
              <w:t>podajnik 1 na 300 arkuszy 80 g/m2,</w:t>
            </w:r>
          </w:p>
          <w:p w14:paraId="452D4D06" w14:textId="77777777" w:rsidR="000A3E48" w:rsidRPr="00387137" w:rsidRDefault="000A3E48" w:rsidP="00387137">
            <w:r w:rsidRPr="00387137">
              <w:t>podajnik uniwersalny na 100 arkuszy 80 g/m2,</w:t>
            </w:r>
          </w:p>
          <w:p w14:paraId="75F0AB87" w14:textId="77777777" w:rsidR="000A3E48" w:rsidRPr="00387137" w:rsidRDefault="000A3E48" w:rsidP="00387137">
            <w:r w:rsidRPr="00387137">
              <w:t>podajnik 2 (opcjonalny) na 535 arkuszy 80 g/m2</w:t>
            </w:r>
          </w:p>
        </w:tc>
      </w:tr>
      <w:tr w:rsidR="000A3E48" w:rsidRPr="007B1778" w14:paraId="12E1C425" w14:textId="77777777" w:rsidTr="00387137">
        <w:trPr>
          <w:trHeight w:val="633"/>
          <w:jc w:val="center"/>
        </w:trPr>
        <w:tc>
          <w:tcPr>
            <w:tcW w:w="2287" w:type="dxa"/>
            <w:shd w:val="clear" w:color="auto" w:fill="auto"/>
            <w:noWrap/>
            <w:vAlign w:val="center"/>
          </w:tcPr>
          <w:p w14:paraId="42A70EA1" w14:textId="77777777" w:rsidR="000A3E48" w:rsidRPr="00387137" w:rsidRDefault="000A3E48" w:rsidP="00387137">
            <w:r w:rsidRPr="00387137">
              <w:t>Odbiornik papieru</w:t>
            </w:r>
          </w:p>
        </w:tc>
        <w:tc>
          <w:tcPr>
            <w:tcW w:w="7619" w:type="dxa"/>
            <w:shd w:val="clear" w:color="auto" w:fill="auto"/>
            <w:noWrap/>
            <w:vAlign w:val="center"/>
          </w:tcPr>
          <w:p w14:paraId="1DE91BF2" w14:textId="77777777" w:rsidR="000A3E48" w:rsidRPr="00387137" w:rsidRDefault="000A3E48" w:rsidP="00387137">
            <w:r w:rsidRPr="00387137">
              <w:t>100 arkuszy wydrukiem do dołu</w:t>
            </w:r>
          </w:p>
        </w:tc>
      </w:tr>
      <w:tr w:rsidR="000A3E48" w:rsidRPr="007B1778" w14:paraId="690ED58B" w14:textId="77777777" w:rsidTr="00387137">
        <w:trPr>
          <w:trHeight w:val="633"/>
          <w:jc w:val="center"/>
        </w:trPr>
        <w:tc>
          <w:tcPr>
            <w:tcW w:w="2287" w:type="dxa"/>
            <w:shd w:val="clear" w:color="auto" w:fill="auto"/>
            <w:noWrap/>
            <w:vAlign w:val="center"/>
          </w:tcPr>
          <w:p w14:paraId="7A2E7FE0" w14:textId="77777777" w:rsidR="000A3E48" w:rsidRPr="00387137" w:rsidRDefault="000A3E48" w:rsidP="00387137">
            <w:r w:rsidRPr="00387137">
              <w:t>Procesor</w:t>
            </w:r>
          </w:p>
        </w:tc>
        <w:tc>
          <w:tcPr>
            <w:tcW w:w="7619" w:type="dxa"/>
            <w:shd w:val="clear" w:color="auto" w:fill="auto"/>
            <w:noWrap/>
            <w:vAlign w:val="center"/>
          </w:tcPr>
          <w:p w14:paraId="64ECBCAB" w14:textId="77777777" w:rsidR="000A3E48" w:rsidRPr="00387137" w:rsidRDefault="000A3E48" w:rsidP="00387137">
            <w:r w:rsidRPr="00387137">
              <w:t>800 MHz</w:t>
            </w:r>
          </w:p>
        </w:tc>
      </w:tr>
      <w:tr w:rsidR="000A3E48" w:rsidRPr="007B1778" w14:paraId="4DE273A8" w14:textId="77777777" w:rsidTr="00387137">
        <w:trPr>
          <w:trHeight w:val="633"/>
          <w:jc w:val="center"/>
        </w:trPr>
        <w:tc>
          <w:tcPr>
            <w:tcW w:w="2287" w:type="dxa"/>
            <w:shd w:val="clear" w:color="auto" w:fill="auto"/>
            <w:noWrap/>
            <w:vAlign w:val="center"/>
          </w:tcPr>
          <w:p w14:paraId="79232523" w14:textId="77777777" w:rsidR="000A3E48" w:rsidRPr="00387137" w:rsidRDefault="000A3E48" w:rsidP="00387137">
            <w:r w:rsidRPr="00387137">
              <w:t>Pamięć RAM</w:t>
            </w:r>
          </w:p>
        </w:tc>
        <w:tc>
          <w:tcPr>
            <w:tcW w:w="7619" w:type="dxa"/>
            <w:shd w:val="clear" w:color="auto" w:fill="auto"/>
            <w:noWrap/>
            <w:vAlign w:val="center"/>
          </w:tcPr>
          <w:p w14:paraId="5454A247" w14:textId="77777777" w:rsidR="000A3E48" w:rsidRPr="00387137" w:rsidRDefault="000A3E48" w:rsidP="00387137">
            <w:r w:rsidRPr="00387137">
              <w:t>1GB</w:t>
            </w:r>
          </w:p>
        </w:tc>
      </w:tr>
      <w:tr w:rsidR="000A3E48" w:rsidRPr="007B1778" w14:paraId="5412AD99" w14:textId="77777777" w:rsidTr="00387137">
        <w:trPr>
          <w:trHeight w:val="633"/>
          <w:jc w:val="center"/>
        </w:trPr>
        <w:tc>
          <w:tcPr>
            <w:tcW w:w="2287" w:type="dxa"/>
            <w:shd w:val="clear" w:color="auto" w:fill="auto"/>
            <w:noWrap/>
            <w:vAlign w:val="center"/>
          </w:tcPr>
          <w:p w14:paraId="037BC329" w14:textId="77777777" w:rsidR="000A3E48" w:rsidRPr="00387137" w:rsidRDefault="000A3E48" w:rsidP="00387137">
            <w:r w:rsidRPr="00387137">
              <w:t>Pamięć HDD</w:t>
            </w:r>
          </w:p>
        </w:tc>
        <w:tc>
          <w:tcPr>
            <w:tcW w:w="7619" w:type="dxa"/>
            <w:shd w:val="clear" w:color="auto" w:fill="auto"/>
            <w:noWrap/>
            <w:vAlign w:val="center"/>
          </w:tcPr>
          <w:p w14:paraId="3DFAA82D" w14:textId="77777777" w:rsidR="000A3E48" w:rsidRPr="00387137" w:rsidRDefault="000A3E48" w:rsidP="00387137">
            <w:r w:rsidRPr="00387137">
              <w:t>250GB</w:t>
            </w:r>
          </w:p>
        </w:tc>
      </w:tr>
    </w:tbl>
    <w:p w14:paraId="6B9AABF5" w14:textId="77777777" w:rsidR="000A3E48" w:rsidRPr="00387137" w:rsidRDefault="000A3E48" w:rsidP="000A3E48"/>
    <w:p w14:paraId="27C3CCFE" w14:textId="77777777" w:rsidR="000A3E48" w:rsidRPr="00387137" w:rsidRDefault="000A3E48" w:rsidP="000A3E48"/>
    <w:p w14:paraId="1D9BF0D6" w14:textId="77777777" w:rsidR="000A3E48" w:rsidRPr="00387137" w:rsidRDefault="000A3E48" w:rsidP="000A3E48">
      <w:r w:rsidRPr="00387137">
        <w:t>Zamawiający wymaga:</w:t>
      </w:r>
    </w:p>
    <w:p w14:paraId="0272FCF1" w14:textId="77777777" w:rsidR="000A3E48" w:rsidRPr="00387137" w:rsidRDefault="000A3E48" w:rsidP="000A3E48">
      <w:r w:rsidRPr="00387137">
        <w:t xml:space="preserve">Wykonawca w formularzu ofertowym winien zaznaczyć, które elementy zamówienia będzie powierzał podwykonawcy, </w:t>
      </w:r>
    </w:p>
    <w:p w14:paraId="105E49B3" w14:textId="77777777" w:rsidR="000A3E48" w:rsidRPr="00387137" w:rsidRDefault="000A3E48" w:rsidP="000A3E48">
      <w:r w:rsidRPr="00387137">
        <w:t>na każdym urządzeniu wchodzącym w przedmiot zamówienia należy zamieścić w widocznym miejscu trwałą nie ścieralną informację wg wzoru:</w:t>
      </w:r>
    </w:p>
    <w:p w14:paraId="0C3E0896" w14:textId="77777777" w:rsidR="000A3E48" w:rsidRPr="00387137" w:rsidRDefault="000A3E48" w:rsidP="000A3E48">
      <w:r w:rsidRPr="00387137">
        <w:t>„Wdrożenie e-usług w zakresie obsługi klientów i kontrahentów sieci wodociągowej Gminy Dywity”</w:t>
      </w:r>
    </w:p>
    <w:p w14:paraId="42DC2195" w14:textId="77777777" w:rsidR="000A3E48" w:rsidRPr="00387137" w:rsidRDefault="000A3E48" w:rsidP="000A3E48">
      <w:r w:rsidRPr="00387137">
        <w:t>RPWM.03.01.00-28-0027/18 w ramach Osi Priorytetowej 3 – „Cyfrowy Region”</w:t>
      </w:r>
    </w:p>
    <w:p w14:paraId="120128B9" w14:textId="77777777" w:rsidR="000A3E48" w:rsidRPr="00387137" w:rsidRDefault="000A3E48" w:rsidP="000A3E48">
      <w:r w:rsidRPr="00387137">
        <w:t>Działania 03.01.00 – „Cyfrowa dostępność informacji sektora publicznego oraz wysoka jakość e-usług publicznych”</w:t>
      </w:r>
    </w:p>
    <w:p w14:paraId="518401A5" w14:textId="77777777" w:rsidR="000A3E48" w:rsidRPr="00387137" w:rsidRDefault="000A3E48" w:rsidP="000A3E48">
      <w:r w:rsidRPr="00387137">
        <w:t>Regionalnego Programu Operacyjnego Województwa Warmińsko-Mazurskiego</w:t>
      </w:r>
      <w:r w:rsidRPr="00387137">
        <w:br/>
        <w:t>na lata 2014-2020</w:t>
      </w:r>
    </w:p>
    <w:p w14:paraId="503FF8DF" w14:textId="77777777" w:rsidR="000A3E48" w:rsidRPr="00387137" w:rsidRDefault="000A3E48" w:rsidP="000A3E48">
      <w:pPr>
        <w:rPr>
          <w:highlight w:val="yellow"/>
        </w:rPr>
      </w:pPr>
    </w:p>
    <w:p w14:paraId="413B6C5C" w14:textId="77777777" w:rsidR="000A3E48" w:rsidRPr="00387137" w:rsidRDefault="000A3E48" w:rsidP="000A3E48">
      <w:r w:rsidRPr="00387137">
        <w:t>Wymiary informacji: 12 cm / 6 cm lub dostosowane do wielkości urządzeń</w:t>
      </w:r>
    </w:p>
    <w:p w14:paraId="1FB8EE19" w14:textId="77777777" w:rsidR="000A3E48" w:rsidRPr="00387137" w:rsidRDefault="000A3E48" w:rsidP="000A3E48">
      <w:r w:rsidRPr="00387137">
        <w:t>Zamawiający wymaga, aby element promocyjny nie odlepiał się po jakimś czasie lub na skutek wykonywania czynności sprzątających typu wytarcie kurzu,</w:t>
      </w:r>
    </w:p>
    <w:p w14:paraId="14930568" w14:textId="77777777" w:rsidR="000A3E48" w:rsidRPr="00387137" w:rsidRDefault="000A3E48" w:rsidP="000A3E48">
      <w:r w:rsidRPr="00387137">
        <w:t>dostarczony sprzęt będzie wolny od wad fizycznych i nie noszący oznak użytkowania. Sprzęt nie może stanowić roszczeń osób trzecich,</w:t>
      </w:r>
    </w:p>
    <w:p w14:paraId="674335D4" w14:textId="77777777" w:rsidR="000A3E48" w:rsidRPr="00387137" w:rsidRDefault="000A3E48" w:rsidP="000A3E48">
      <w:r w:rsidRPr="00387137">
        <w:t xml:space="preserve">dla wyspecyfikowanych urządzeń podane parametry są wartościami minimalnymi, każdy sprzęt o parametrach lepszych, wyższych od wyspecyfikowanych spełnia wymagania określone przez Zamawiającego. Wszystkie urządzenia powinny spełniać wszelkie przepisy dot. prawa dopuszczenia do użytkowania w Polsce oraz posiadać stosowne dokumenty świadczące o spełnianiu wszystkich niezbędnych norm i wytycznych, które powinien spełniać w/w sprzęt przed dopuszczeniem go do użytkowania. Kopie tych dokumentów oferent </w:t>
      </w:r>
      <w:r w:rsidRPr="00387137">
        <w:lastRenderedPageBreak/>
        <w:t xml:space="preserve">powinien dostarczyć razem ze sprzętem, wraz z oświadczeniem o ich zgodności z oryginałem. Do każdego urządzenia muszą być dołączone wszystkie niezbędne dokumenty takie jak instrukcja obsługi, gwarancja, oświadczenie zgodności z wszystkimi niezbędnymi normami (np. CE) oraz wszystkie płyty/dyskietki z oprogramowaniem, sterownikami dodawanymi do sprzętu w przypadku określenia danego elementu nazwą producenta należy automatycznie stosować pojęcie „lub równoważne”. </w:t>
      </w:r>
    </w:p>
    <w:p w14:paraId="1874F80F" w14:textId="77777777" w:rsidR="000A3E48" w:rsidRPr="00387137" w:rsidRDefault="000A3E48" w:rsidP="000A3E48">
      <w:r w:rsidRPr="00387137">
        <w:t xml:space="preserve">Za rozwiązania równoważne dla systemu operacyjnego uznaje się takie, które posiada wbudowane mechanizmy, bez użycia dodatkowych aplikacji (bez jakichkolwiek emulatorów, implementacji lub programów towarzyszących), zapewniające: </w:t>
      </w:r>
    </w:p>
    <w:p w14:paraId="5A5D1C75" w14:textId="77777777" w:rsidR="000A3E48" w:rsidRPr="00387137" w:rsidRDefault="000A3E48" w:rsidP="000A3E48">
      <w:r w:rsidRPr="00387137">
        <w:t xml:space="preserve">1. polską wersję językową, </w:t>
      </w:r>
    </w:p>
    <w:p w14:paraId="41199982" w14:textId="77777777" w:rsidR="000A3E48" w:rsidRPr="00387137" w:rsidRDefault="000A3E48" w:rsidP="000A3E48">
      <w:r w:rsidRPr="00387137">
        <w:t xml:space="preserve">2. możliwość instalacji i poprawnego działania oprogramowania dostępnego w ramach posiadanych przez Zamawiającego licencji Microsoft Office 2010, Microsoft Office 2013 oraz możliwość pełnej integracji z systemem domenowym MS Windows, </w:t>
      </w:r>
    </w:p>
    <w:p w14:paraId="0E22E460" w14:textId="77777777" w:rsidR="000A3E48" w:rsidRPr="00387137" w:rsidRDefault="000A3E48" w:rsidP="000A3E48">
      <w:r w:rsidRPr="00387137">
        <w:t xml:space="preserve">3. możliwość instalacji i poprawnego działania aplikacji wykorzystywanych przez Zamawiającego, oraz poprawnej obsługi powszechnie używanych, urządzeń peryferyjnych (drukarek, skanerów, kser), </w:t>
      </w:r>
    </w:p>
    <w:p w14:paraId="6B9FE9AD" w14:textId="77777777" w:rsidR="000A3E48" w:rsidRPr="00387137" w:rsidRDefault="000A3E48" w:rsidP="000A3E48">
      <w:r w:rsidRPr="00387137">
        <w:t xml:space="preserve">4. dostępność aktualizacji i poprawek do systemu u producenta systemu bezpłatnie i bez dodatkowych opłat licencyjnych z możliwością wyboru instalowanych poprawek, </w:t>
      </w:r>
    </w:p>
    <w:p w14:paraId="70D47187" w14:textId="77777777" w:rsidR="000A3E48" w:rsidRPr="00387137" w:rsidRDefault="000A3E48" w:rsidP="000A3E48">
      <w:r w:rsidRPr="00387137">
        <w:t>5. możliwość zdalnej, automatycznej instalacji, konfiguracji, administrowania oraz aktualizowania systemu,</w:t>
      </w:r>
    </w:p>
    <w:p w14:paraId="21144699" w14:textId="77777777" w:rsidR="000A3E48" w:rsidRPr="00387137" w:rsidRDefault="000A3E48" w:rsidP="000A3E48">
      <w:r w:rsidRPr="00387137">
        <w:t xml:space="preserve"> 6. możliwość automatycznego zbudowania obrazu systemu wraz z aplikacjami, obraz systemu służyć ma do automatycznego upowszechniania systemu operacyjnego inicjowanego i wykonywanego w całości przez sieć komputerową, </w:t>
      </w:r>
    </w:p>
    <w:p w14:paraId="21E52D7B" w14:textId="77777777" w:rsidR="000A3E48" w:rsidRPr="00387137" w:rsidRDefault="000A3E48" w:rsidP="000A3E48">
      <w:r w:rsidRPr="00387137">
        <w:t xml:space="preserve">7. możliwość wdrożenia nowego obrazu przez zdalną instalację, </w:t>
      </w:r>
    </w:p>
    <w:p w14:paraId="700E8F9D" w14:textId="77777777" w:rsidR="000A3E48" w:rsidRPr="00387137" w:rsidRDefault="000A3E48" w:rsidP="000A3E48">
      <w:r w:rsidRPr="00387137">
        <w:t xml:space="preserve">8. graficzne środowisko instalacji i konfiguracji, </w:t>
      </w:r>
    </w:p>
    <w:p w14:paraId="79A86242" w14:textId="77777777" w:rsidR="000A3E48" w:rsidRPr="00387137" w:rsidRDefault="000A3E48" w:rsidP="000A3E48">
      <w:r w:rsidRPr="00387137">
        <w:t xml:space="preserve">9. możliwość udostępniania i przejmowania pulpitu zdalnego, </w:t>
      </w:r>
    </w:p>
    <w:p w14:paraId="4BCE714A" w14:textId="77777777" w:rsidR="000A3E48" w:rsidRPr="00387137" w:rsidRDefault="000A3E48" w:rsidP="000A3E48">
      <w:r w:rsidRPr="00387137">
        <w:t xml:space="preserve">10. możliwość udostępniania plików i drukarek, </w:t>
      </w:r>
    </w:p>
    <w:p w14:paraId="49DD12B4" w14:textId="77777777" w:rsidR="000A3E48" w:rsidRPr="00387137" w:rsidRDefault="000A3E48" w:rsidP="000A3E48">
      <w:r w:rsidRPr="00387137">
        <w:t xml:space="preserve">11. możliwość blokowania lub dopuszczenia dowolnych urządzeń peryferyjnych za pomocą polityk sprzętowych (np. przy użyciu numerów identyfikacyjnych sprzętu), </w:t>
      </w:r>
    </w:p>
    <w:p w14:paraId="41234FAB" w14:textId="77777777" w:rsidR="000A3E48" w:rsidRPr="00387137" w:rsidRDefault="000A3E48" w:rsidP="000A3E48">
      <w:r w:rsidRPr="00387137">
        <w:t xml:space="preserve">12. zapewnienie wsparcia dla większości powszechnie używanych urządzeń (drukarek, urządzeń sieciowych, standardów USB, urządzeń Plug &amp; Play, </w:t>
      </w:r>
      <w:proofErr w:type="spellStart"/>
      <w:r w:rsidRPr="00387137">
        <w:t>WiFi</w:t>
      </w:r>
      <w:proofErr w:type="spellEnd"/>
      <w:r w:rsidRPr="00387137">
        <w:t xml:space="preserve">, </w:t>
      </w:r>
    </w:p>
    <w:p w14:paraId="02B42984" w14:textId="77777777" w:rsidR="000A3E48" w:rsidRPr="00387137" w:rsidRDefault="000A3E48" w:rsidP="000A3E48">
      <w:r w:rsidRPr="00387137">
        <w:t xml:space="preserve">13. wyposażenie systemu w graficzny interfejs użytkownika w języku polskim, </w:t>
      </w:r>
    </w:p>
    <w:p w14:paraId="54A970FD" w14:textId="77777777" w:rsidR="000A3E48" w:rsidRPr="00387137" w:rsidRDefault="000A3E48" w:rsidP="000A3E48">
      <w:r w:rsidRPr="00387137">
        <w:t xml:space="preserve">14. zapewnienie pełnej kompatybilności z oferowanym sprzętem, </w:t>
      </w:r>
    </w:p>
    <w:p w14:paraId="0360710F" w14:textId="77777777" w:rsidR="000A3E48" w:rsidRPr="00387137" w:rsidRDefault="000A3E48" w:rsidP="000A3E48">
      <w:r w:rsidRPr="00387137">
        <w:t xml:space="preserve">15. zintegrowanie z systemem modułu pomocy dla użytkownika w języku polskim, </w:t>
      </w:r>
    </w:p>
    <w:p w14:paraId="25DDFA15" w14:textId="77777777" w:rsidR="000A3E48" w:rsidRPr="00387137" w:rsidRDefault="000A3E48" w:rsidP="000A3E48">
      <w:r w:rsidRPr="00387137">
        <w:t xml:space="preserve">16. zintegrowanie z systemem modułu wyszukiwania informacji, </w:t>
      </w:r>
    </w:p>
    <w:p w14:paraId="4FCFC2DB" w14:textId="77777777" w:rsidR="000A3E48" w:rsidRPr="00387137" w:rsidRDefault="000A3E48" w:rsidP="000A3E48">
      <w:r w:rsidRPr="00387137">
        <w:t xml:space="preserve">17. możliwość wykonywania kopii bezpieczeństwa (całego dysku, wybranych folderów, kopii przyrostowych) wraz z możliwością automatycznego odzyskania wersji wcześniejszej, </w:t>
      </w:r>
    </w:p>
    <w:p w14:paraId="7073337B" w14:textId="77777777" w:rsidR="000A3E48" w:rsidRPr="00387137" w:rsidRDefault="000A3E48" w:rsidP="000A3E48">
      <w:r w:rsidRPr="00387137">
        <w:t xml:space="preserve">18. zabezpieczony hasłem hierarchiczny dostęp do systemu, konta i profile użytkowników zarządzane zdalnie; praca systemu w trybie ochrony kont użytkowników, </w:t>
      </w:r>
    </w:p>
    <w:p w14:paraId="0E8AF36B" w14:textId="77777777" w:rsidR="000A3E48" w:rsidRPr="00387137" w:rsidRDefault="000A3E48" w:rsidP="000A3E48">
      <w:r w:rsidRPr="00387137">
        <w:t xml:space="preserve">19. zintegrowane z systemem operacyjnym narzędzia zwalczające złośliwe oprogramowanie; aktualizacja dostępna u producenta nieodpłatnie bez ograniczeń czasowych, </w:t>
      </w:r>
    </w:p>
    <w:p w14:paraId="03A8FB8F" w14:textId="77777777" w:rsidR="000A3E48" w:rsidRPr="00387137" w:rsidRDefault="000A3E48" w:rsidP="000A3E48">
      <w:r w:rsidRPr="00387137">
        <w:t xml:space="preserve">20. licencja na system operacyjny musi być nieograniczona w czasie, pozwalać na wielokrotne instalowanie systemu na oferowanym sprzęcie bez konieczności kontaktowania się przez Zamawiającego z producentem systemu lub sprzętu, </w:t>
      </w:r>
    </w:p>
    <w:p w14:paraId="04C74C75" w14:textId="77777777" w:rsidR="000A3E48" w:rsidRPr="00387137" w:rsidRDefault="000A3E48" w:rsidP="000A3E48">
      <w:r w:rsidRPr="00387137">
        <w:t xml:space="preserve">21. oprogramowanie powinno posiadać certyfikat autentyczności lub unikalny kod aktywacyjny, </w:t>
      </w:r>
    </w:p>
    <w:p w14:paraId="6CCCDE1F" w14:textId="77777777" w:rsidR="000A3E48" w:rsidRPr="00387137" w:rsidRDefault="000A3E48" w:rsidP="000A3E48">
      <w:r w:rsidRPr="00387137">
        <w:t xml:space="preserve">22. zamawiający nie dopuszcza w systemie możliwości instalacji dodatkowych narzędzi emulujących działanie systemów. W przypadku zaoferowania przez Wykonawcę rozwiązania równoważnego, Wykonawca jest zobowiązany do pokrycia wszelkich możliwych kosztów, wymaganych w czasie wdrożenia oferowanego rozwiązania, w szczególności związanych z </w:t>
      </w:r>
      <w:r w:rsidRPr="00387137">
        <w:lastRenderedPageBreak/>
        <w:t>dostosowaniem infrastruktury informatycznej, oprogramowania nią zarządzającego, systemowego i narzędziowego (licencje, wdrożenie), serwisu gwarancyjnego oraz kosztów certyfikowanych szkoleń dla administratorów i użytkowników oferowanego rozwiązania.</w:t>
      </w:r>
    </w:p>
    <w:p w14:paraId="0A723F41" w14:textId="77777777" w:rsidR="000A3E48" w:rsidRPr="00387137" w:rsidRDefault="000A3E48" w:rsidP="000A3E48"/>
    <w:p w14:paraId="5BF15AFB" w14:textId="77777777" w:rsidR="000A3E48" w:rsidRPr="00387137" w:rsidRDefault="000A3E48" w:rsidP="000A3E48"/>
    <w:p w14:paraId="553C3C21" w14:textId="77777777" w:rsidR="000A3E48" w:rsidRPr="00387137" w:rsidRDefault="000A3E48" w:rsidP="000A3E48">
      <w:r w:rsidRPr="00387137">
        <w:t>Informacje szczegółowe:</w:t>
      </w:r>
    </w:p>
    <w:p w14:paraId="02DB9BE1" w14:textId="77777777" w:rsidR="000A3E48" w:rsidRPr="00387137" w:rsidRDefault="000A3E48" w:rsidP="000A3E48">
      <w:r w:rsidRPr="00387137">
        <w:t>Prace należy realizować w dni robocze w godzinach od 8.00-15.00.</w:t>
      </w:r>
    </w:p>
    <w:p w14:paraId="3DF7AAB4" w14:textId="77777777" w:rsidR="000A3E48" w:rsidRPr="00387137" w:rsidRDefault="000A3E48" w:rsidP="000A3E48">
      <w:r w:rsidRPr="00387137">
        <w:t>Wszystkie prace należy wykonywać w obecności pracownika Zamawiającego.</w:t>
      </w:r>
    </w:p>
    <w:p w14:paraId="615C9C6C" w14:textId="77777777" w:rsidR="000A3E48" w:rsidRPr="00387137" w:rsidRDefault="000A3E48" w:rsidP="000A3E48">
      <w:r w:rsidRPr="00387137">
        <w:t>Zakres prac w Urzędzie Gminy Dywity:</w:t>
      </w:r>
    </w:p>
    <w:p w14:paraId="38E9D4B2" w14:textId="77777777" w:rsidR="000A3E48" w:rsidRPr="00387137" w:rsidRDefault="000A3E48" w:rsidP="000A3E48">
      <w:r w:rsidRPr="00387137">
        <w:t>zestawy komputerowe:</w:t>
      </w:r>
    </w:p>
    <w:p w14:paraId="7D9174FF" w14:textId="77777777" w:rsidR="000A3E48" w:rsidRPr="00387137" w:rsidRDefault="000A3E48" w:rsidP="000A3E48">
      <w:r w:rsidRPr="00387137">
        <w:t>dostarczenie sprzętu, wniesienie;</w:t>
      </w:r>
    </w:p>
    <w:p w14:paraId="50424DA7" w14:textId="77777777" w:rsidR="000A3E48" w:rsidRPr="00387137" w:rsidRDefault="000A3E48" w:rsidP="000A3E48">
      <w:r w:rsidRPr="00387137">
        <w:t>rozpakowanie sprzętu;</w:t>
      </w:r>
    </w:p>
    <w:p w14:paraId="1AA9D29E" w14:textId="77777777" w:rsidR="000A3E48" w:rsidRPr="00387137" w:rsidRDefault="000A3E48" w:rsidP="000A3E48">
      <w:r w:rsidRPr="00387137">
        <w:t>ułożenie i podłączenie sprzętu we wskazanym miejscu;</w:t>
      </w:r>
      <w:bookmarkStart w:id="0" w:name="_GoBack"/>
      <w:bookmarkEnd w:id="0"/>
    </w:p>
    <w:p w14:paraId="0001ADCD" w14:textId="77777777" w:rsidR="000A3E48" w:rsidRPr="00387137" w:rsidRDefault="000A3E48" w:rsidP="000A3E48">
      <w:r w:rsidRPr="00387137">
        <w:t>zamaskowanie (ułożenie) okablowania w sposób estetyczny;</w:t>
      </w:r>
    </w:p>
    <w:p w14:paraId="5B754000" w14:textId="77777777" w:rsidR="000A3E48" w:rsidRPr="00387137" w:rsidRDefault="000A3E48" w:rsidP="000A3E48">
      <w:r w:rsidRPr="00387137">
        <w:t>instalacja, konfiguracja do potrzeb użytkownika sprzętu komputerowego;</w:t>
      </w:r>
    </w:p>
    <w:p w14:paraId="3C25387D" w14:textId="77777777" w:rsidR="000A3E48" w:rsidRPr="00387137" w:rsidRDefault="000A3E48" w:rsidP="000A3E48">
      <w:r w:rsidRPr="00387137">
        <w:t>pobranie aktualizacji systemowych i ich instalacja i konfiguracja;</w:t>
      </w:r>
    </w:p>
    <w:p w14:paraId="7AF4D7BE" w14:textId="77777777" w:rsidR="000A3E48" w:rsidRPr="00387137" w:rsidRDefault="000A3E48" w:rsidP="000A3E48">
      <w:r w:rsidRPr="00387137">
        <w:t>założenie konta użytkownika i hasła logowania do systemu w uzgodnieniu z użytkownikiem. Hasło i login należy do każdej stacji należy przekazać Zamawiającemu;</w:t>
      </w:r>
    </w:p>
    <w:p w14:paraId="1E05870A" w14:textId="77777777" w:rsidR="000A3E48" w:rsidRPr="00387137" w:rsidRDefault="000A3E48" w:rsidP="000A3E48">
      <w:r w:rsidRPr="00387137">
        <w:t>przekazanie kompletu nośników okablowania zasilającego oraz sieciowego, licencji;</w:t>
      </w:r>
    </w:p>
    <w:p w14:paraId="551A5D94" w14:textId="77777777" w:rsidR="000A3E48" w:rsidRPr="00387137" w:rsidRDefault="000A3E48" w:rsidP="000A3E48">
      <w:r w:rsidRPr="00387137">
        <w:t>oklejenie sprzętu nalepkami promocyjnymi;</w:t>
      </w:r>
    </w:p>
    <w:p w14:paraId="6F84D386" w14:textId="77777777" w:rsidR="000A3E48" w:rsidRPr="00387137" w:rsidRDefault="000A3E48" w:rsidP="000A3E48">
      <w:r w:rsidRPr="00387137">
        <w:t>podpisanie protokołu z realizacji instalacji.</w:t>
      </w:r>
    </w:p>
    <w:p w14:paraId="55B3B6F0" w14:textId="77777777" w:rsidR="000A3E48" w:rsidRPr="00387137" w:rsidRDefault="000A3E48" w:rsidP="000A3E48">
      <w:r w:rsidRPr="00387137">
        <w:t>Wykonawca ustali z Zamawiającym harmonogram prac rozlokowania nowych zestawów.</w:t>
      </w:r>
    </w:p>
    <w:p w14:paraId="6A7DE762" w14:textId="77777777" w:rsidR="000A3E48" w:rsidRPr="00387137" w:rsidRDefault="000A3E48" w:rsidP="000A3E48">
      <w:r w:rsidRPr="00387137">
        <w:t>Wykonawca jest zobowiązany do zabrania wszystkich kartonów pochodzących od dostarczonego sprzętu komputerowego.  W przypadku potrzeby zgłoszenia sprzętu komputerowego do serwisu Wykonawca będzie w obowiązku dostarczyć do siedziby Zamawiającego oryginalny karton dla danego urządzenia objętego serwisem.</w:t>
      </w:r>
    </w:p>
    <w:p w14:paraId="7B227E67" w14:textId="77777777" w:rsidR="000A3E48" w:rsidRPr="00387137" w:rsidRDefault="000A3E48" w:rsidP="000A3E48"/>
    <w:p w14:paraId="1F911C00" w14:textId="77777777" w:rsidR="002402DA" w:rsidRDefault="000A3E48"/>
    <w:sectPr w:rsidR="002402DA" w:rsidSect="00EB5575">
      <w:headerReference w:type="even" r:id="rId4"/>
      <w:headerReference w:type="default" r:id="rId5"/>
      <w:footerReference w:type="even" r:id="rId6"/>
      <w:footerReference w:type="default" r:id="rId7"/>
      <w:headerReference w:type="first" r:id="rId8"/>
      <w:footerReference w:type="first" r:id="rId9"/>
      <w:pgSz w:w="11906" w:h="16838"/>
      <w:pgMar w:top="1417" w:right="1417" w:bottom="1417" w:left="1417" w:header="284" w:footer="133"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463A45" w14:textId="77777777" w:rsidR="00EE6C78" w:rsidRDefault="000A3E48" w:rsidP="00EB5575">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7363365" w14:textId="77777777" w:rsidR="00EE6C78" w:rsidRDefault="000A3E48" w:rsidP="00EB557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CBDAB" w14:textId="77777777" w:rsidR="00EE6C78" w:rsidRDefault="000A3E48" w:rsidP="00EB5575">
    <w:pPr>
      <w:pStyle w:val="Stopka"/>
      <w:framePr w:wrap="none"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31</w:t>
    </w:r>
    <w:r>
      <w:rPr>
        <w:rStyle w:val="Numerstrony"/>
      </w:rPr>
      <w:fldChar w:fldCharType="end"/>
    </w:r>
  </w:p>
  <w:sdt>
    <w:sdtPr>
      <w:id w:val="-1496944860"/>
      <w:docPartObj>
        <w:docPartGallery w:val="Page Numbers (Bottom of Page)"/>
        <w:docPartUnique/>
      </w:docPartObj>
    </w:sdtPr>
    <w:sdtEndPr/>
    <w:sdtContent>
      <w:p w14:paraId="2904F029" w14:textId="77777777" w:rsidR="00EE6C78" w:rsidRDefault="000A3E48" w:rsidP="00EB5575">
        <w:pPr>
          <w:pStyle w:val="Stopka"/>
          <w:ind w:right="360"/>
          <w:jc w:val="center"/>
        </w:pPr>
      </w:p>
    </w:sdtContent>
  </w:sdt>
  <w:p w14:paraId="3D7E20B9" w14:textId="77777777" w:rsidR="00EE6C78" w:rsidRDefault="000A3E4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8C82F" w14:textId="77777777" w:rsidR="00EE6C78" w:rsidRDefault="000A3E48">
    <w:pPr>
      <w:pStyle w:val="Stopk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83385" w14:textId="77777777" w:rsidR="00EE6C78" w:rsidRDefault="000A3E4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D54B9" w14:textId="77777777" w:rsidR="00EE6C78" w:rsidRDefault="000A3E48">
    <w:pPr>
      <w:pStyle w:val="Nagwek"/>
    </w:pPr>
    <w:r>
      <w:rPr>
        <w:noProof/>
        <w:lang w:eastAsia="pl-PL"/>
      </w:rPr>
      <w:drawing>
        <wp:anchor distT="0" distB="0" distL="114300" distR="114300" simplePos="0" relativeHeight="251659264" behindDoc="0" locked="0" layoutInCell="1" allowOverlap="1" wp14:anchorId="62A1FBB8" wp14:editId="7B42B634">
          <wp:simplePos x="0" y="0"/>
          <wp:positionH relativeFrom="column">
            <wp:posOffset>-219048</wp:posOffset>
          </wp:positionH>
          <wp:positionV relativeFrom="paragraph">
            <wp:posOffset>-2540</wp:posOffset>
          </wp:positionV>
          <wp:extent cx="5760720" cy="575213"/>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21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3CB0EE" w14:textId="77777777" w:rsidR="00EE6C78" w:rsidRDefault="000A3E48">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E48"/>
    <w:rsid w:val="000A3E48"/>
    <w:rsid w:val="00465897"/>
    <w:rsid w:val="00AC65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627C"/>
  <w15:chartTrackingRefBased/>
  <w15:docId w15:val="{743E4D29-83DF-42FD-A7D4-43032FF07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3E48"/>
    <w:pPr>
      <w:widowControl w:val="0"/>
      <w:suppressAutoHyphens/>
      <w:spacing w:after="0" w:line="240" w:lineRule="auto"/>
    </w:pPr>
    <w:rPr>
      <w:rFonts w:ascii="Times New Roman" w:eastAsia="Lucida Sans Unicode" w:hAnsi="Times New Roman" w:cs="Times New Roman"/>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3E48"/>
    <w:pPr>
      <w:tabs>
        <w:tab w:val="center" w:pos="4536"/>
        <w:tab w:val="right" w:pos="9072"/>
      </w:tabs>
    </w:pPr>
  </w:style>
  <w:style w:type="character" w:customStyle="1" w:styleId="NagwekZnak">
    <w:name w:val="Nagłówek Znak"/>
    <w:basedOn w:val="Domylnaczcionkaakapitu"/>
    <w:link w:val="Nagwek"/>
    <w:uiPriority w:val="99"/>
    <w:rsid w:val="000A3E48"/>
    <w:rPr>
      <w:rFonts w:ascii="Times New Roman" w:eastAsia="Lucida Sans Unicode" w:hAnsi="Times New Roman" w:cs="Times New Roman"/>
      <w:kern w:val="1"/>
      <w:sz w:val="24"/>
      <w:szCs w:val="24"/>
      <w:lang w:eastAsia="ar-SA"/>
    </w:rPr>
  </w:style>
  <w:style w:type="paragraph" w:styleId="Stopka">
    <w:name w:val="footer"/>
    <w:basedOn w:val="Normalny"/>
    <w:link w:val="StopkaZnak"/>
    <w:uiPriority w:val="99"/>
    <w:unhideWhenUsed/>
    <w:rsid w:val="000A3E48"/>
    <w:pPr>
      <w:tabs>
        <w:tab w:val="center" w:pos="4536"/>
        <w:tab w:val="right" w:pos="9072"/>
      </w:tabs>
    </w:pPr>
  </w:style>
  <w:style w:type="character" w:customStyle="1" w:styleId="StopkaZnak">
    <w:name w:val="Stopka Znak"/>
    <w:basedOn w:val="Domylnaczcionkaakapitu"/>
    <w:link w:val="Stopka"/>
    <w:uiPriority w:val="99"/>
    <w:rsid w:val="000A3E48"/>
    <w:rPr>
      <w:rFonts w:ascii="Times New Roman" w:eastAsia="Lucida Sans Unicode" w:hAnsi="Times New Roman" w:cs="Times New Roman"/>
      <w:kern w:val="1"/>
      <w:sz w:val="24"/>
      <w:szCs w:val="24"/>
      <w:lang w:eastAsia="ar-SA"/>
    </w:rPr>
  </w:style>
  <w:style w:type="character" w:styleId="Numerstrony">
    <w:name w:val="page number"/>
    <w:basedOn w:val="Domylnaczcionkaakapitu"/>
    <w:uiPriority w:val="99"/>
    <w:semiHidden/>
    <w:unhideWhenUsed/>
    <w:rsid w:val="000A3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2702</Words>
  <Characters>16213</Characters>
  <Application>Microsoft Office Word</Application>
  <DocSecurity>0</DocSecurity>
  <Lines>135</Lines>
  <Paragraphs>37</Paragraphs>
  <ScaleCrop>false</ScaleCrop>
  <Company/>
  <LinksUpToDate>false</LinksUpToDate>
  <CharactersWithSpaces>18878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Rogowska</dc:creator>
  <cp:keywords/>
  <dc:description/>
  <cp:lastModifiedBy>Justyna Rogowska</cp:lastModifiedBy>
  <cp:revision>1</cp:revision>
  <dcterms:created xsi:type="dcterms:W3CDTF">2020-03-05T08:19:00Z</dcterms:created>
  <dcterms:modified xsi:type="dcterms:W3CDTF">2020-03-05T08:19:00Z</dcterms:modified>
</cp:coreProperties>
</file>