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EBA" w:rsidRPr="00894EBA" w:rsidRDefault="00894EBA" w:rsidP="00894EBA">
      <w:pPr>
        <w:jc w:val="right"/>
        <w:rPr>
          <w:rFonts w:ascii="Times New Roman" w:hAnsi="Times New Roman" w:cs="Times New Roman"/>
          <w:b/>
          <w:i/>
          <w:sz w:val="24"/>
          <w:szCs w:val="24"/>
        </w:rPr>
      </w:pPr>
      <w:r w:rsidRPr="00894EBA">
        <w:rPr>
          <w:rFonts w:ascii="Times New Roman" w:hAnsi="Times New Roman" w:cs="Times New Roman"/>
          <w:b/>
          <w:i/>
          <w:sz w:val="24"/>
          <w:szCs w:val="24"/>
        </w:rPr>
        <w:t>Załącznik nr 1 do SIWZ</w:t>
      </w:r>
    </w:p>
    <w:p w:rsidR="00894EBA" w:rsidRPr="00894EBA" w:rsidRDefault="00894EBA" w:rsidP="00894EBA">
      <w:pPr>
        <w:spacing w:before="240" w:line="276" w:lineRule="auto"/>
        <w:rPr>
          <w:rFonts w:ascii="Times New Roman" w:hAnsi="Times New Roman" w:cs="Times New Roman"/>
          <w:b/>
          <w:sz w:val="24"/>
          <w:szCs w:val="24"/>
        </w:rPr>
      </w:pPr>
      <w:r w:rsidRPr="00894EBA">
        <w:rPr>
          <w:rFonts w:ascii="Times New Roman" w:hAnsi="Times New Roman" w:cs="Times New Roman"/>
          <w:b/>
          <w:sz w:val="24"/>
          <w:szCs w:val="24"/>
        </w:rPr>
        <w:t xml:space="preserve">SZCZEGÓŁOWY OPIS PRZEDMIOTU ZAMÓWIENIA – CZĘŚĆ </w:t>
      </w:r>
      <w:r>
        <w:rPr>
          <w:rFonts w:ascii="Times New Roman" w:hAnsi="Times New Roman" w:cs="Times New Roman"/>
          <w:b/>
          <w:sz w:val="24"/>
          <w:szCs w:val="24"/>
        </w:rPr>
        <w:t>I</w:t>
      </w:r>
      <w:r w:rsidRPr="00894EBA">
        <w:rPr>
          <w:rFonts w:ascii="Times New Roman" w:hAnsi="Times New Roman" w:cs="Times New Roman"/>
          <w:b/>
          <w:sz w:val="24"/>
          <w:szCs w:val="24"/>
        </w:rPr>
        <w:t>I.</w:t>
      </w:r>
    </w:p>
    <w:p w:rsidR="00894EBA" w:rsidRPr="00894EBA" w:rsidRDefault="00894EBA" w:rsidP="00894EBA">
      <w:pPr>
        <w:numPr>
          <w:ilvl w:val="0"/>
          <w:numId w:val="24"/>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 xml:space="preserve">Przedmiotem zamówienia jest dostawa pomocy dydaktycznych do </w:t>
      </w:r>
      <w:r w:rsidRPr="00894EBA">
        <w:rPr>
          <w:rFonts w:ascii="Times New Roman" w:hAnsi="Times New Roman" w:cs="Times New Roman"/>
          <w:b/>
          <w:sz w:val="24"/>
          <w:szCs w:val="24"/>
        </w:rPr>
        <w:t>Szkoły Podstawowej w Tuławkach</w:t>
      </w:r>
      <w:r w:rsidR="00DC1101">
        <w:rPr>
          <w:rFonts w:ascii="Times New Roman" w:hAnsi="Times New Roman" w:cs="Times New Roman"/>
          <w:b/>
          <w:sz w:val="24"/>
          <w:szCs w:val="24"/>
        </w:rPr>
        <w:t xml:space="preserve"> i Szkoły Podstawowej w Bukwałdzie</w:t>
      </w:r>
      <w:r w:rsidRPr="00894EBA">
        <w:rPr>
          <w:rFonts w:ascii="Times New Roman" w:hAnsi="Times New Roman" w:cs="Times New Roman"/>
          <w:sz w:val="24"/>
          <w:szCs w:val="24"/>
        </w:rPr>
        <w:t xml:space="preserve"> w ramach projektu pt. „</w:t>
      </w:r>
      <w:r>
        <w:rPr>
          <w:rFonts w:ascii="Times New Roman" w:hAnsi="Times New Roman" w:cs="Times New Roman"/>
          <w:sz w:val="24"/>
          <w:szCs w:val="24"/>
        </w:rPr>
        <w:t>Nowoczesne szkoły bez barier SP Tuławki i Bukwałd</w:t>
      </w:r>
      <w:r w:rsidRPr="00894EBA">
        <w:rPr>
          <w:rFonts w:ascii="Times New Roman" w:hAnsi="Times New Roman" w:cs="Times New Roman"/>
          <w:sz w:val="24"/>
          <w:szCs w:val="24"/>
        </w:rPr>
        <w:t>”, realizowanego w</w:t>
      </w:r>
      <w:r w:rsidR="00DC1101">
        <w:rPr>
          <w:rFonts w:ascii="Times New Roman" w:hAnsi="Times New Roman" w:cs="Times New Roman"/>
          <w:sz w:val="24"/>
          <w:szCs w:val="24"/>
        </w:rPr>
        <w:t> </w:t>
      </w:r>
      <w:r w:rsidRPr="00894EBA">
        <w:rPr>
          <w:rFonts w:ascii="Times New Roman" w:hAnsi="Times New Roman" w:cs="Times New Roman"/>
          <w:sz w:val="24"/>
          <w:szCs w:val="24"/>
        </w:rPr>
        <w:t>ramach O</w:t>
      </w:r>
      <w:r>
        <w:rPr>
          <w:rFonts w:ascii="Times New Roman" w:hAnsi="Times New Roman" w:cs="Times New Roman"/>
          <w:sz w:val="24"/>
          <w:szCs w:val="24"/>
        </w:rPr>
        <w:t>si</w:t>
      </w:r>
      <w:r w:rsidRPr="00894EBA">
        <w:rPr>
          <w:rFonts w:ascii="Times New Roman" w:hAnsi="Times New Roman" w:cs="Times New Roman"/>
          <w:sz w:val="24"/>
          <w:szCs w:val="24"/>
        </w:rPr>
        <w:t xml:space="preserve"> Priorytetow</w:t>
      </w:r>
      <w:r>
        <w:rPr>
          <w:rFonts w:ascii="Times New Roman" w:hAnsi="Times New Roman" w:cs="Times New Roman"/>
          <w:sz w:val="24"/>
          <w:szCs w:val="24"/>
        </w:rPr>
        <w:t>ej</w:t>
      </w:r>
      <w:r w:rsidRPr="00894EBA">
        <w:rPr>
          <w:rFonts w:ascii="Times New Roman" w:hAnsi="Times New Roman" w:cs="Times New Roman"/>
          <w:sz w:val="24"/>
          <w:szCs w:val="24"/>
        </w:rPr>
        <w:t xml:space="preserve"> 2: Kadry dla gospodarki, </w:t>
      </w:r>
      <w:r w:rsidRPr="00894EBA">
        <w:rPr>
          <w:rFonts w:ascii="Times New Roman" w:hAnsi="Times New Roman" w:cs="Times New Roman"/>
          <w:color w:val="000000"/>
          <w:sz w:val="24"/>
          <w:szCs w:val="24"/>
        </w:rPr>
        <w:t>Działanie 2.2 Podniesienie jakości oferty edukacyjnej ukierunkowanej na rozwój kompetencji kluczowych uczniów, Poddziałanie 2.2.1: Podniesienie jakości oferty edukacyjnej ukierunkowanej na rozwój kompetencji kluczowych uczniów – projekty konkursowe</w:t>
      </w:r>
      <w:r w:rsidRPr="00894EBA">
        <w:rPr>
          <w:rFonts w:ascii="Times New Roman" w:hAnsi="Times New Roman" w:cs="Times New Roman"/>
          <w:sz w:val="24"/>
          <w:szCs w:val="24"/>
        </w:rPr>
        <w:t>. Projekt współfinansowany ze środków Europejskiego Funduszu Społecznego w ramach Regionalnego Programu Operacyjnego dla Województwa Warmińsko – Mazurskiego na lata 2014 – 2020.</w:t>
      </w:r>
    </w:p>
    <w:p w:rsidR="00894EBA" w:rsidRPr="00894EBA" w:rsidRDefault="00894EBA" w:rsidP="00894EBA">
      <w:pPr>
        <w:numPr>
          <w:ilvl w:val="0"/>
          <w:numId w:val="25"/>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zamówienie obejmuje dostawę (na własny koszt Wykonawcy, osobiście, bez udziału kuriera) wraz z transportem, rozładunkiem i wniesieniem pomocy dydaktycznych do:</w:t>
      </w:r>
    </w:p>
    <w:p w:rsidR="00894EBA" w:rsidRPr="00DC1101" w:rsidRDefault="00894EBA" w:rsidP="00DC1101">
      <w:pPr>
        <w:numPr>
          <w:ilvl w:val="0"/>
          <w:numId w:val="26"/>
        </w:numPr>
        <w:spacing w:after="0" w:line="276" w:lineRule="auto"/>
        <w:ind w:left="1077" w:hanging="357"/>
        <w:jc w:val="both"/>
        <w:rPr>
          <w:rFonts w:ascii="Times New Roman" w:hAnsi="Times New Roman" w:cs="Times New Roman"/>
          <w:sz w:val="24"/>
          <w:szCs w:val="24"/>
        </w:rPr>
      </w:pPr>
      <w:r w:rsidRPr="00894EBA">
        <w:rPr>
          <w:rFonts w:ascii="Times New Roman" w:hAnsi="Times New Roman" w:cs="Times New Roman"/>
          <w:sz w:val="24"/>
          <w:szCs w:val="24"/>
          <w:shd w:val="clear" w:color="auto" w:fill="FFFFFF"/>
        </w:rPr>
        <w:t xml:space="preserve">Szkoła Podstawowa w </w:t>
      </w:r>
      <w:r>
        <w:rPr>
          <w:rFonts w:ascii="Times New Roman" w:hAnsi="Times New Roman" w:cs="Times New Roman"/>
          <w:sz w:val="24"/>
          <w:szCs w:val="24"/>
          <w:shd w:val="clear" w:color="auto" w:fill="FFFFFF"/>
        </w:rPr>
        <w:t>Tuławk</w:t>
      </w:r>
      <w:r w:rsidRPr="00894EBA">
        <w:rPr>
          <w:rFonts w:ascii="Times New Roman" w:hAnsi="Times New Roman" w:cs="Times New Roman"/>
          <w:sz w:val="24"/>
          <w:szCs w:val="24"/>
          <w:shd w:val="clear" w:color="auto" w:fill="FFFFFF"/>
        </w:rPr>
        <w:t xml:space="preserve">ach, </w:t>
      </w:r>
      <w:r>
        <w:rPr>
          <w:rFonts w:ascii="Times New Roman" w:hAnsi="Times New Roman" w:cs="Times New Roman"/>
          <w:sz w:val="24"/>
          <w:szCs w:val="24"/>
          <w:shd w:val="clear" w:color="auto" w:fill="FFFFFF"/>
        </w:rPr>
        <w:t>Tuławki 31</w:t>
      </w:r>
      <w:r w:rsidRPr="00894EBA">
        <w:rPr>
          <w:rFonts w:ascii="Times New Roman" w:hAnsi="Times New Roman" w:cs="Times New Roman"/>
          <w:sz w:val="24"/>
          <w:szCs w:val="24"/>
          <w:shd w:val="clear" w:color="auto" w:fill="FFFFFF"/>
        </w:rPr>
        <w:t>, 11-001 Dywity,</w:t>
      </w:r>
    </w:p>
    <w:p w:rsidR="00DC1101" w:rsidRPr="00894EBA" w:rsidRDefault="00DC1101" w:rsidP="00DC1101">
      <w:pPr>
        <w:numPr>
          <w:ilvl w:val="0"/>
          <w:numId w:val="26"/>
        </w:numPr>
        <w:spacing w:after="0" w:line="276" w:lineRule="auto"/>
        <w:ind w:left="1077" w:hanging="357"/>
        <w:jc w:val="both"/>
        <w:rPr>
          <w:rFonts w:ascii="Times New Roman" w:hAnsi="Times New Roman" w:cs="Times New Roman"/>
          <w:sz w:val="24"/>
          <w:szCs w:val="24"/>
        </w:rPr>
      </w:pPr>
      <w:r>
        <w:rPr>
          <w:rFonts w:ascii="Times New Roman" w:hAnsi="Times New Roman" w:cs="Times New Roman"/>
          <w:sz w:val="24"/>
          <w:szCs w:val="24"/>
          <w:shd w:val="clear" w:color="auto" w:fill="FFFFFF"/>
        </w:rPr>
        <w:t>Szkoła Podstawowa w Bukwałdzie, Bukwałd 39, 11-001 Dywity</w:t>
      </w:r>
    </w:p>
    <w:p w:rsidR="00894EBA" w:rsidRPr="00894EBA" w:rsidRDefault="00894EBA" w:rsidP="00894EBA">
      <w:pPr>
        <w:numPr>
          <w:ilvl w:val="0"/>
          <w:numId w:val="25"/>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jeżeli jest to uzasadnione rodzajem przedmiotu zamówienia, zakres zamówienia obejmuje także montaż, instalację i uruchomienie przedmiotu zamówienia;</w:t>
      </w:r>
    </w:p>
    <w:p w:rsidR="00894EBA" w:rsidRPr="00894EBA" w:rsidRDefault="00894EBA" w:rsidP="00894EBA">
      <w:pPr>
        <w:numPr>
          <w:ilvl w:val="0"/>
          <w:numId w:val="24"/>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Dostarczone pomoce dydaktyczne muszą posiadać odpowiednie certyfikaty potwierdzające zgodność z Polskimi Normami oraz certyfikaty bezpieczeństwa.</w:t>
      </w:r>
    </w:p>
    <w:p w:rsidR="00894EBA" w:rsidRPr="00894EBA" w:rsidRDefault="00894EBA" w:rsidP="00894EBA">
      <w:pPr>
        <w:numPr>
          <w:ilvl w:val="0"/>
          <w:numId w:val="24"/>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Dostarczone pomoce dydaktyczne muszą być fabrycznie nowe, nieużywane, posiadać karty gwarancyjne i instrukcję obsługi w języku polskim oraz muszą być wolne od obciążeń prawami osób trzecich.</w:t>
      </w:r>
    </w:p>
    <w:p w:rsidR="00894EBA" w:rsidRPr="00894EBA" w:rsidRDefault="00894EBA" w:rsidP="00894EBA">
      <w:pPr>
        <w:numPr>
          <w:ilvl w:val="0"/>
          <w:numId w:val="24"/>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Przyjęte opisy i typy pomocy dydaktycznych zostały użyte wyłącznie przykładowo, w celu opisania przedmiotu zamówienia. Wykonawca uprawniony jest do przedstawienia w ofercie pomocy dydaktycznych równoważnych, o nie gorszych parametrach. Wszędzie tam, gdzie Zamawiający opisuje przedmiot zamówienia poprzez wskazanie znaku towarowego, patentu, nazwy lub pochodzenia, wskazanie to (wzorzec ten) ma na celu określenie rodzaju i klasy materiału oraz służy ustaleniu jego standardu, właściwości i minimalnych parametrów technicznych. Przyjmuje się, że takiemu wskazaniu, każdorazowo towarzyszy dopuszczenie rozwiązań równoważnych. Wykonawca, który powołuje się na rozwiązania równoważne opisywanym przez Zamawiającego jest obowiązany wykazać, że oferowane przez niego dostawy spełniają wymagania określone przez Zamawiającego (art. 30 ust. 5 ustawy PZP). Wskazane w SIWZ nazwy własne, symbole, modele, typy i itp. mają jedynie charakter wzorcowy.</w:t>
      </w:r>
    </w:p>
    <w:p w:rsidR="00894EBA" w:rsidRPr="00894EBA" w:rsidRDefault="00894EBA" w:rsidP="00894EBA">
      <w:pPr>
        <w:numPr>
          <w:ilvl w:val="0"/>
          <w:numId w:val="24"/>
        </w:numPr>
        <w:spacing w:after="0" w:line="276" w:lineRule="auto"/>
        <w:jc w:val="both"/>
        <w:rPr>
          <w:rFonts w:ascii="Times New Roman" w:hAnsi="Times New Roman" w:cs="Times New Roman"/>
          <w:sz w:val="24"/>
          <w:szCs w:val="24"/>
        </w:rPr>
      </w:pPr>
      <w:r w:rsidRPr="00894EBA">
        <w:rPr>
          <w:rFonts w:ascii="Times New Roman" w:hAnsi="Times New Roman" w:cs="Times New Roman"/>
          <w:sz w:val="24"/>
          <w:szCs w:val="24"/>
        </w:rPr>
        <w:t xml:space="preserve">Wykonawca udzieli na dostarczone pomoce dydaktyczne gwarancji na okres nie krótszy niż 24 miesiące, licząc od daty podpisania protokołu zdawczo-odbiorczego, za </w:t>
      </w:r>
      <w:r w:rsidRPr="00894EBA">
        <w:rPr>
          <w:rFonts w:ascii="Times New Roman" w:hAnsi="Times New Roman" w:cs="Times New Roman"/>
          <w:sz w:val="24"/>
          <w:szCs w:val="24"/>
        </w:rPr>
        <w:lastRenderedPageBreak/>
        <w:t>wyjątkiem pomocy dydaktycznych, w którym okres gwarancji jest podany w opisie produktu. Okres gwarancji jest równy okresowi rękojmi.</w:t>
      </w:r>
    </w:p>
    <w:p w:rsidR="00774B57" w:rsidRPr="00894EBA" w:rsidRDefault="00774B57">
      <w:pPr>
        <w:rPr>
          <w:rFonts w:ascii="Times New Roman" w:hAnsi="Times New Roman" w:cs="Times New Roman"/>
          <w:sz w:val="24"/>
          <w:szCs w:val="24"/>
        </w:rPr>
      </w:pPr>
    </w:p>
    <w:p w:rsidR="00CA7844" w:rsidRDefault="00DC1101" w:rsidP="00CA7844">
      <w:pPr>
        <w:pStyle w:val="gwp600a923cmsonormal"/>
        <w:shd w:val="clear" w:color="auto" w:fill="FFFFFF"/>
        <w:spacing w:before="0" w:beforeAutospacing="0" w:after="0" w:afterAutospacing="0"/>
        <w:rPr>
          <w:b/>
          <w:color w:val="2D2D2D"/>
          <w:szCs w:val="17"/>
        </w:rPr>
      </w:pPr>
      <w:r>
        <w:rPr>
          <w:b/>
          <w:color w:val="2D2D2D"/>
          <w:szCs w:val="17"/>
        </w:rPr>
        <w:t>Wykaz pomocy dydaktycznych:</w:t>
      </w:r>
    </w:p>
    <w:tbl>
      <w:tblPr>
        <w:tblW w:w="93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10"/>
        <w:gridCol w:w="6663"/>
        <w:gridCol w:w="991"/>
        <w:gridCol w:w="993"/>
      </w:tblGrid>
      <w:tr w:rsidR="00DC1101" w:rsidRPr="00B77E83" w:rsidTr="00DC1101">
        <w:trPr>
          <w:tblHeader/>
        </w:trPr>
        <w:tc>
          <w:tcPr>
            <w:tcW w:w="710" w:type="dxa"/>
            <w:vMerge w:val="restart"/>
            <w:shd w:val="clear" w:color="auto" w:fill="auto"/>
            <w:vAlign w:val="center"/>
          </w:tcPr>
          <w:p w:rsidR="00DC1101" w:rsidRPr="00B77E83" w:rsidRDefault="00DC1101" w:rsidP="00DC1101">
            <w:pPr>
              <w:pStyle w:val="gwp600a923cmsonormal"/>
              <w:shd w:val="clear" w:color="auto" w:fill="FFFFFF"/>
              <w:spacing w:before="0" w:beforeAutospacing="0" w:after="0" w:afterAutospacing="0"/>
              <w:ind w:left="113"/>
              <w:jc w:val="center"/>
              <w:rPr>
                <w:b/>
                <w:color w:val="2D2D2D"/>
              </w:rPr>
            </w:pPr>
            <w:r w:rsidRPr="00B77E83">
              <w:rPr>
                <w:b/>
                <w:color w:val="2D2D2D"/>
              </w:rPr>
              <w:t>L</w:t>
            </w:r>
            <w:r>
              <w:rPr>
                <w:b/>
                <w:color w:val="2D2D2D"/>
              </w:rPr>
              <w:t>.</w:t>
            </w:r>
            <w:r w:rsidRPr="00B77E83">
              <w:rPr>
                <w:b/>
                <w:color w:val="2D2D2D"/>
              </w:rPr>
              <w:t>p.</w:t>
            </w:r>
          </w:p>
        </w:tc>
        <w:tc>
          <w:tcPr>
            <w:tcW w:w="6663" w:type="dxa"/>
            <w:vMerge w:val="restart"/>
            <w:shd w:val="clear" w:color="auto" w:fill="auto"/>
            <w:vAlign w:val="center"/>
          </w:tcPr>
          <w:p w:rsidR="00DC1101"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 xml:space="preserve">Nazwa pomocy dydaktycznej </w:t>
            </w:r>
          </w:p>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wraz z opisem i minimalnymi paramentami</w:t>
            </w:r>
          </w:p>
        </w:tc>
        <w:tc>
          <w:tcPr>
            <w:tcW w:w="1984" w:type="dxa"/>
            <w:gridSpan w:val="2"/>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Liczba sztuk/kompletów</w:t>
            </w:r>
          </w:p>
        </w:tc>
      </w:tr>
      <w:tr w:rsidR="00DC1101" w:rsidRPr="00B77E83" w:rsidTr="00DC1101">
        <w:trPr>
          <w:tblHeader/>
        </w:trPr>
        <w:tc>
          <w:tcPr>
            <w:tcW w:w="710" w:type="dxa"/>
            <w:vMerge/>
            <w:shd w:val="clear" w:color="auto" w:fill="auto"/>
            <w:vAlign w:val="center"/>
          </w:tcPr>
          <w:p w:rsidR="00DC1101" w:rsidRPr="00B77E83" w:rsidRDefault="00DC1101" w:rsidP="00DC1101">
            <w:pPr>
              <w:pStyle w:val="gwp600a923cmsonormal"/>
              <w:shd w:val="clear" w:color="auto" w:fill="FFFFFF"/>
              <w:spacing w:before="0" w:beforeAutospacing="0" w:after="0" w:afterAutospacing="0"/>
              <w:ind w:left="113"/>
              <w:jc w:val="center"/>
              <w:rPr>
                <w:b/>
                <w:color w:val="2D2D2D"/>
              </w:rPr>
            </w:pPr>
          </w:p>
        </w:tc>
        <w:tc>
          <w:tcPr>
            <w:tcW w:w="6663" w:type="dxa"/>
            <w:vMerge/>
            <w:shd w:val="clear" w:color="auto" w:fill="auto"/>
          </w:tcPr>
          <w:p w:rsidR="00DC1101" w:rsidRPr="00B77E83" w:rsidRDefault="00DC1101" w:rsidP="006659AF">
            <w:pPr>
              <w:pStyle w:val="gwp600a923cmsonormal"/>
              <w:shd w:val="clear" w:color="auto" w:fill="FFFFFF"/>
              <w:spacing w:before="0" w:beforeAutospacing="0" w:after="0" w:afterAutospacing="0"/>
              <w:jc w:val="both"/>
              <w:rPr>
                <w:b/>
                <w:color w:val="2D2D2D"/>
              </w:rPr>
            </w:pPr>
          </w:p>
        </w:tc>
        <w:tc>
          <w:tcPr>
            <w:tcW w:w="991" w:type="dxa"/>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Pr>
                <w:b/>
                <w:color w:val="2D2D2D"/>
              </w:rPr>
              <w:t>SP Tuławki</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Pr>
                <w:b/>
                <w:color w:val="2D2D2D"/>
              </w:rPr>
              <w:t>SP Bukwałd</w:t>
            </w:r>
          </w:p>
        </w:tc>
      </w:tr>
      <w:tr w:rsidR="00DC1101" w:rsidRPr="00B77E83" w:rsidTr="00DC1101">
        <w:trPr>
          <w:trHeight w:val="373"/>
        </w:trPr>
        <w:tc>
          <w:tcPr>
            <w:tcW w:w="8364" w:type="dxa"/>
            <w:gridSpan w:val="3"/>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SALA BIOLOGICZNO - CHEMICZNA</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Suszarka na szkło laboratoryjne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Suszarka do próbówek z tacką do ociekania.  Końcówki prętów zabezpieczone gumkami.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Szafa bezpiec</w:t>
            </w:r>
            <w:r>
              <w:rPr>
                <w:color w:val="2D2D2D"/>
              </w:rPr>
              <w:t>zeństwa na odczynniki chemiczne</w:t>
            </w:r>
            <w:r w:rsidRPr="00B77E83">
              <w:rPr>
                <w:color w:val="2D2D2D"/>
              </w:rPr>
              <w:t xml:space="preserv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Spawana szafa stalowa z czterema ocynkowanymi półkami wannowymi i jedną ocynkowaną wanną z kratą na dnie szafy.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Podnośnik z aluminium podnośnik laboratoryjny z aluminium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szkła laboratoryjnego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Skład zestawu:  Łapa do probówek, drewniana  3 sztuki  Łyżeczka do spalań z kołnierzem ochronnym  3 sztuki  Moździerz szorstki z tłuczkiem i wylewem 1 sztuka Palnik gazowy  1 sztuka  Palnik spirytusowy z knotem  1 sztuka  Parownica porcelanowa 1 sztuka Pęseta metalowa, chromowana  1 sztuka  Płytka porcelanowa z wgłębieniami 1 sztuka  Probówka szklana, borokrzemianowa  12 sztuk  Siatka z krążkiem ceramicznym  2 sztuki Szczypce laboratoryjne uniwersalne 1 sztuka  Szpatułka dwustronna.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Uniwersalny zestaw wskaźników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uniwersalny wskaźników chemicznych (w tym reagentów, odczynników, pasków wskaźnikowych) wykorzystywanych do przeprowadzania testów i w trakcie doświadczeń szkolnych i 1eksperymentów.</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odc</w:t>
            </w:r>
            <w:r>
              <w:rPr>
                <w:color w:val="2D2D2D"/>
              </w:rPr>
              <w:t xml:space="preserve">zynników - </w:t>
            </w:r>
            <w:r w:rsidRPr="00B77E83">
              <w:rPr>
                <w:color w:val="2D2D2D"/>
              </w:rPr>
              <w:t>zestaw 84 preparatów chemicznych niezbędny do przeprowadzenia doświadczeń i pokazów laboratoryjnych w szkolnej pracowni chemicznej.</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odczynników do nauki biologii</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minimum 26 pozycji.</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podstawowy do budowy struktur chemicznych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48 modeli pierwiastków, takich jak wodór, węgiel, tlen, fluorowce, azot i siarka, oraz 3 rodzaje łączników (razem 62 sztuki) symbolizujących różne typy wiązań.</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Magnetyczny zestaw tablicowy do chemii organicznej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trójwymiarowych, kulistych modeli atomów pierwiastków wykonanych z kolorowego tworzywa sztucznego z elementami magnetycznymi umożliwiającymi umieszczanie ich na tablicy metalowej. W skład zestawu wchodzą modele atomów węgla (5 różnych, razem 9 sztuk; średnica 38 mm), modele atomów tlenu (3 </w:t>
            </w:r>
            <w:r w:rsidRPr="00B77E83">
              <w:rPr>
                <w:color w:val="2D2D2D"/>
              </w:rPr>
              <w:lastRenderedPageBreak/>
              <w:t>różne, razem 10 sztuk; średnica 38 mm), modele atomów wodoru (17 sztuk; ; średnica 30 mm) oraz 10 łączeń magnetycznych.</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lastRenderedPageBreak/>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Przewody bananowe do piętrowego dołączania 50 cm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42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Zasilacz prądu stałego o możliwym poborze prądu 3A z zabezpieczeniem przeciw przeciążeniowym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Parametry techniczne: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Napięcia wyjściowe: 2/4/6/8/10/12 V AC lub DC/ 3A.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Napięcie zasilania: 230 VAC/50 Hz</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Wymiary: 140 x 130 x 210 mm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Waga: 3,5 kg</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Przewody ze złączami krokodylkowymi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Komplet 10 kolorowych przewodów ze złączami krokodylkowymi.</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Statyw laboratoryjny z wyposażeniem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Statyw z drutu, powlekany, minimum 20-miejscowy, średnica 20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4</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4</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szkła i wyposażenia laboratoryjnego zestaw podstawowy, z probówkami borokrzemianowymi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Skład zestawu:  Łapa do probówek, drewniania  3 sztuki  Łyżeczka do spalań z kołnierzem ochronnym  3 sztuki  Moździerz szorstki z tłuczkiem i wylewem  1 sztuka  Palnik gazowy 1 sztuka Palnik spirytusowy z knotem  1 sztuka Parownica porcelanowa  1 sztuka  Pęseta metalowa, chromowana  1 sztuka  Płytka porcelanowa z wgłębieniami  1 sztuka  Probówka szklana, borokrzemianowa 12 sztuk. Siatka z krążkiem ceramicznym  2 sztuki  Szczypce laboratoryjne uniwersalne 1 sztuka Szpatułka dwustronna.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Taca laboratoryjna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Taca laboratoryjna, wielofunkcyjna, wykonana z polipropylenu o wymiarach 45 x 35 x 7,5 (H) cm. Wygodna do szkolnych doświadczeń chemicznych, fizycznych lub przyrodniczych. Dno gładkie. Można ją sterylizować.</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Fartuch ochronny biały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Fartuch laboratoryjny, płócienny (100% bawełny), długi rękaw, dwie kieszenie po bokach, z tyłu pasek regulujący obwód fartuch, rozmiar XS.</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Okulary ochronne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Okulary ochronne z tworzywa, z otworami wentylacyjnymi, z gumką w celu dopasowania do rozmiaru głowy.</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Rękawice laboratoryjne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Pudrowane, diagnostyczne i ochronne rękawice lateksowe (z kauczuku naturalnego), niejałowe, do jednorazowego użycia, rozmiar: S, opakowanie: 100 sztuk, środek pudrujący: skrobia (mączka) kukurydziana.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6</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6</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Apteczka szkolna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co najmniej: 2x elestyczny opatrunek polarowy 10x waciki z jodem 20x antyseptyczne chusteczki 20x chusteczki nasączone alkoholem 2x rękawiczki winylowe 1x lateksowa opaska uciskowa 2x elastyczny bandaż 1x pęseta/kleszcze 1x małe nożyczki 1x koc termiczny 1x taśma przylepna.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111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Lupa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Lupa o średnicy min. 55 mm i powiększeniu min. 2,5x, z dwoma dodatkowymi, mniejszymi soczewkami o powiększeniu min. 25 x oraz min. 55x. Podświetlenie LED: światło białe i ultrafioletowe. Zasilanie bateryjne</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Pudełko do obserwacji okazów z 3 lupami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Przezroczysty pojemnik z tworzywa sztucznego w kształcie walca, w którego pokrywkę (zdejmowaną) wbudowane są 2 lupy (jedna uchylna na zawiasie), dające powiększenie min. 2x. W pokrywce znajdują się otwory wentylacyjne. Dodatkowym elementem jest przestrzeń pod pudełkiem głównym z odchylaną lupą boczną oraz umieszczonym ukośnie lustrem umożliwia to oglądanie okazu z boku oraz od dołu. W dnie pudełka głównego znajduje się miarka z podziałką w cm i mm (zamiast siatki) do określania wielkości okazu. Przybliżone wymiary: wysokość od 6,5 cm do 8 cm, średnica od 6,5 cm do 8 cm. Umożliwia bezpieczne i humanitarne obserwacje bezkręgowców, a następnie wypuszczanie ich do ich naturalnego środowiska życia.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Lornetka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Budowa dachopryzmatyczna, kolorowe soczewki, pryzmaty ze szkła optycznego klasy min. BK7, średnica obiektywów 25 mm, powiększenie min. 10 razy, masa max. 170 gram, w zestawie pasek do lornetki i pokrowiec.</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rPr>
          <w:trHeight w:val="1142"/>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Mikroskop zasilany z sieci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Mikroskop Obiektywy: 4x, 10x, 40xs Okular: WF16x Stolik z zaciskami Obrotowa diafragma Kondensor</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Wbudowane górne i dolne oświetlenie LED</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Mikroskop z kamerą USB</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w:t>
            </w:r>
            <w:r w:rsidRPr="00B77E83">
              <w:rPr>
                <w:color w:val="2D2D2D"/>
              </w:rPr>
              <w:lastRenderedPageBreak/>
              <w:t>krzyżowy ze skalą milimetrową, oświetlenie górne i dolne z regulacją natężenia, filtry pod stolikowe barwne kontrastowe, zasilanie bateryjne 3 x AA (1,5), 4,5V łącznie (co najmniej 72 godziny pracy ciągłej z pełnym oświetleniem).Minimalna zawartość dodatkowego wyposażenia: przykładowe (min. 5) gotowe preparaty, narzędzia preparacyjne (szkiełka podstawowe, szkiełka nakrywkowe, w tym prosty mikrotom), plastikowa walizka transportowa.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lastRenderedPageBreak/>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preparatów mikroskopowych co żyje w kropli wody – 3 komplety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zestawie min. 10 preparatów np.: okrzemki (różne formy), euglena zielona, pantofelki (orzęski z hodowli sianowej), rozwielitka.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3</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3</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Stoper elektroniczny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ręczny, kwarcowy, z funkcją międzyczasu i sygnalizacją dźwiękową naciśnięcia przycisku. Rozdzielczość pomiaru: 1/100 sekundy.</w:t>
            </w:r>
          </w:p>
        </w:tc>
        <w:tc>
          <w:tcPr>
            <w:tcW w:w="991" w:type="dxa"/>
            <w:shd w:val="clear" w:color="auto" w:fill="auto"/>
            <w:vAlign w:val="center"/>
          </w:tcPr>
          <w:p w:rsidR="00DC1101" w:rsidRPr="00B77E83" w:rsidRDefault="006659AF" w:rsidP="006659AF">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Probówka szklana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Probówki szklane bakteriologiczne z prostym brzegiem. Wykonane ze szkła sodowo-wapniowego. Standardowe wymiary ok. 18 cm, śr. 18 mm lub 16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100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plastikowych pipet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składa się min. z 500 szt. pipety Pasteura z polietylenu o całkowitej pojemności ok. 5 ml (podziałka: do 1 ml, bańka ssąca: ok. 4 ml), minimalne wymiary: 5 x 150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rPr>
          <w:trHeight w:val="89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Mały palnik Bunsena na gaz</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Niewielki Palnik Bunsena o temperaturze płomienia ok. 1100°C. Łatwe zakładanie i wymiana nabojów gazowych..</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Butelka z zakraplaczem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Szklana butelka z przeźroczystego (lub opcjonalnie z brązowego) szkła o poj. 30 ml. Zamknięciem jest szklana pipeta z gumowym korkiem.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3</w:t>
            </w:r>
            <w:r w:rsidR="00DC1101">
              <w:rPr>
                <w:color w:val="2D2D2D"/>
              </w:rPr>
              <w:t>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30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Butelki na roztwory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Butelka z zakrętką z gwintem GL 45, wykonana ze szkła sodowo-wapniowego o pojemności min. 250 ml.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3</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30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Igły preparacyjne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Igła preparacyjna prosta pojedyncza ze stali nierdzewnej z metalowym zintegrowanym uchwytem antypoślizgowym, długość całkowita: min. 13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35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35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szkiełek podstawowych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Szkiełka podstawowe gotowe do użycia o standardowych wymiarach: 76 x 25 x 1 mm, szlifowane. Zestaw składa się min. z 50 szt.</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szkiełek nakrywkowych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Szkiełka nakrywkowe gotowe do użycia o standardowych wymiarach: 22 x 22 mm. Zestaw składa się min. z 100 szt.</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1666"/>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akwarystyczny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odczynniki do pomiaru:- pH (2x100 pomiarów), - twardości ogólnej i węglanowej (2x30 pomiarów), - stężenia amoniaku (30 pomiarów), - stężenia azotanów (III) (50 pomiarów), - stężenia azotanów (V) (50 pomiarów), - stężenia fosforanów (30 pomiarów) - stężenia jonów żelaza Fe (30 pomiarów). W zestawie dodatkowo: szklane probówki, instrukcja i odporna na wodę skala barw. Całość umieszczona jest w trwałej plastikowej walizeczce.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Parafilm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Parafilm, rozciągliwość do 200%. Przylega szczelnie nawet do nieregularnych kształtów. Odporny na roztwory solne, kwasy nieorganiczne i ługi do 48 godzin. Szerokość min.: 50 mm, długość: 75 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Mata z włókniny chłonnej</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Mata o wymiarach: ok. 40 x 50 cm, opakowanie 50 szt. Do zbierania oleju, benzyny i wszelkich innych cieczy na bazie węglowodorów, materiał odpychający wodę.</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Rękawice do gorących przedmiotów - komplet</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Rękawice robocze bawełniane frotte, zakończone ściągaczem zapobiegającym zsuwaniu się rękawicy z dłoni, do prac gdzie występuje konieczność przytrzymania ciepłych przedmiotów.</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Szczotki do mycia szkła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Szczotka do zlewek, probówek (średnica 20 mm), szczotka do lejków, rączka z drutu ze stali nierdzewnej, włosie z tworzywa sztucznego, zakończone miotełką.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Płyta grzejna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Płyta grzewcza o średnicy min. 16,5cm, wysokość całkowita kuchenki 8 cm, płynna 6-stopniowa regulacja temperatury, lampka kontrolna, ochrona przed przegrzaniem, moc: 1500 W, antypoślizgowe nóżki. Waga: maks. 2 kg.</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Czajnik elektryczny bezprzewodowy z regulacją temp.</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z możliwością ustawienia na 50/60/70/85/100 °C, pojemność ok. 1,7 l, zatrzaskiwana pokrywa.</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Lodówka z zamrażalnikiem.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lastRenderedPageBreak/>
              <w:t>Pojemność 100/105 l, klasa energetyczna A+, roczne zużycie energii: 175 kWh, pojemność użytkowa chłodziarki: min. 103 litry, pojemność użytkowa zamrażarki: min. 15 litrów. Minimalne parametry: wymiar (W x S x G): 84,5 x 54 x 58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lastRenderedPageBreak/>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Drążek teleskopowy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Drążek teleskopowy o długości 145 275 cm, wykonany z włókna szklanego, wyposażony w specjalny mechanizm uwalniający do szybkiego montażu i zmiany dedykowanych sit, siatek i czerpaków.</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Czerpak do pobierania wody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Zlewka polietylenowa o pojemności 1000 ml z zaciskiem (obejmą) o regulowanym kącie. Do mocowania na dedykowanym drążku teleskopowym.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Sieć planktonowa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Sieć zawieszona na galwanizowanej obręczy o śr. 200 mm, wielkość oczka sieci: 65 Îźm (=0,065 mm). Do dna sieci przymocowane naczynie zbierające wykonane z polietylenu o pojemności 100 ml. Sieć przystosowana do mocowania na dedykowanym drążku teleskopowym.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Krążek Secchiego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Krążek (biały lub z polami czarno-białymi) do określania głębokości i przejrzystości wody i przenikania światła. Wykonany z trwałego tworzywa sztucznego z uchwytem do zaczepiania linki i linką.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Linka skalowana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Linka nylonowa, m.in. do krążka Secchiego, długości 10 m, skalowana co 50 cm, zakończona karabińczykiem. Zwijana na specjalnym uchwycie.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Deska do krojenia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Deska kuchenna plastikowa, optymalne wymiary ok. 30 x 20 cm, grubość ok. 0,6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Nóż ze stali nierdzewnej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Przybliżone wymiary, długość ostrza: ok. 8 cm, długość całkowita ok. 19 cm, szerokość ok. 2,5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Zraszacz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Pojemność: 0,5 litra, dysza o regulowanym kącie rozpylenia, lekko pracujący spust, filtr zamocowany na rurce zasysającej.</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Podgrzewacz biały aluminiowy, wypełnienie: parafina, długość palenia: ok. 4 godzin. Opakowanie zawiera 100 sztuk</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Sztywna okładka z klipsem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Zamykana podkładka z klipsem do przytrzymywania dokumentów formatu A4, wykonana z grubej tektury laminowanej folią PVC, pojemność min. 60 kartek o gramaturze 80 g/m2.</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Saperka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Składana saperka ze stali w zestawie z pokrowcem, przybliżone wymiary a długość całkowita: 58 cm, wymiary łopatki: 21 x 15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Wiadro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Wiadro plastikowe o pojemności 10 l z poręcznym, wygodnym uchwytem, przybliżone wymiary: szerokość: 29 cm, wysokość: 30,5 cm, średnica: 25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Akwarium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skład zestawu wchodzi: szklane akwarium z owalną (wypukłą) przednią szybą o pojemności: min.54 l i przybliżonych wymiarach: 60 x 30 x 30 cm, przepływowy filtr biologiczny w pokrywie, trzy koszyki filtracyjne, grzałka, bryzgoszczelne oświetlenie o mocy 15 W, otwierana klapka do łatwego karmienia, plastikowa ramka (podstawka) i tło dekoracyjne 3D.</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Słoiki 0,5l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Szklany pojemnik z przykrywką ze stali nierdzewnej o pojemności 0.5l.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Słoiki 1l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Szklany pojemnik z przykrywką ze stali nierdzewnej o pojemności 1 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Listwa zasilająca – 6 sztuk</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 zabezpieczeniem przeciwprzepięciowym, min. 5 gniazdek z uziemieniem i z osobnymi włącznikami, długość przewodu min. 1,5 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6</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6</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wskaźników środowiska- skala porostowa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przedstawiająca budowę porostów i skalę porostową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obieg wody w przyrodzie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przedstawiająca obieg wody w przyrodzie. Zalecany wymiar planszy min:100 x 70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Przewodniki rośliny i zwierzęta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Przewodnik przedstawia opisy i zdjęcia min 1000 gatunków zwierząt i roślin. Krótkie i zwięzłe opisy oprócz podstawowych informacji o wyglądzie zwierzęcia lub rośliny zawierają także trochę ciekawostek przyrodniczych. Zalecany format: 11 x 18 cm, oprawa kartonowa.</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Przewodnik do rozpoznawania ptaków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Ilustrowana encyklopedia zawierająca zdjęcia i opisy większości gatunków ptaków występujących w Polsce,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8</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8</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Folia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Teczka typu ofertówka wykonana z tworzywa typu PCV, format A4.</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Gumka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lastRenderedPageBreak/>
              <w:t>Elastyczne kolorowe gumki recepturki o różnych średnicach, opakowanie: min. 50 g.</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lastRenderedPageBreak/>
              <w:t>4</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4</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Taśma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Uniwersalna taśma dwustronna szeroki zakres zastosowań wymiary: 50 mm x 5 m.</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Pinezki</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Pinezki do tablic korkowych posiadające kolorowe plastikowe łebki, opakowanie min. 50 szt.</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Magnesy do tablicy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Kolorowe magnesy w plastikowej obudowie. Średnica: ok. 20 mm, opakowanie min. 60 szt.</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Denaturat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Pojemność [l]:0.5 </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Woda demineralizowana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Pojemność (L)  5 L </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Rozpuszczalnik uniwersalny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Pojemność  0,5</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Spirytus rektyfikowany 500 ml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Węże gumowe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Wąż gumowy z kauczuku naturalnego, minimalne parametry średnica zewnętrzna 10 mm, średnica wewnętrzna 6 mm, ścianka grubości 2 mm.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Bibuła laboratoryjna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Bibuła jakościowa miękka o wymiarach: min.58 x 58 mm, opakowanie 100 arkuszy.</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Sączki laboratoryjne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Okrągłe, podstawowe. Pakowane po 100 szt.</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Ręczniki papierowe co najmniej 3000 listków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Termos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Termos nierdzewny o pojemności min.750 ml, wewnętrzne i zewnętrzne ścianki wykonane ze stali nierdzewnej, izolacja próżniowa, termiczne zabezpieczenie zamknięcia. Przybliżone wymiary długość: 27,5 cm; szerokość: 7,5 cm; wysokość: 27,5 cm; średnica: 7,5 cm; waga: 0,5 kg.</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Tabela rozpuszczalności plansza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jednostronna, laminowana, oprawiona w listwy metalowe. Wymiary min. 70x100cm.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Gaśnica (Sprzęt ppoż)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Gaśnica wodna mgłowa min. 6 l., przeznaczona jest do zabezpieczania obiektów użyteczności publicznej, zwłaszcza biur, archiwów, szkół, przychodni medycznych, kancelarii prawnych, jak również pomieszczeń gastronomicznych i kuchni domowych.</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Koc gaśniczy (sprzęt ppoż)</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Wykonany z wytrzymałego materiału z włókna szklanego, przystosowany do zamocowania na ścianie. Wykonany z tkaniny niepalnej o wymiarze min. 1400x1800 mm.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Płytki ceramiczne na ławki uczniowskie / stół do pracowni chemicznej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Stelaż z rury kwadratowej min. 25x25 mm (na życzenie wykonujemy również stelaże z rury okrągłej lub płaskoowalnej), blat wykonany z płyty odpornej na rozcieńczone substancje chemiczne z obrzeżami zabezpieczonymi doklejką PCV.</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2</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20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Łyżki do spalań łyżeczka do spalań wykonana ze stali nierdzewnej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Jodyna - 20ml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Kubki, tacki i łyżeczki jednorazowe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Plastikowe, opakowania po min. 100 sztuk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Szalki Petriego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Szalki Petriego ze szkła sodowo-wapniowego, wymiary 90 x 18 mm lub 100 x 15 mm lub 120 x 20 mm. Zestaw składa się min. z 10 szt.</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701"/>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rStyle w:val="Pogrubienie"/>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b/>
                <w:color w:val="2D2D2D"/>
              </w:rPr>
            </w:pPr>
            <w:r w:rsidRPr="00B77E83">
              <w:rPr>
                <w:rStyle w:val="Pogrubienie"/>
                <w:b w:val="0"/>
                <w:color w:val="2D2D2D"/>
              </w:rPr>
              <w:t>Dygestorium</w:t>
            </w:r>
          </w:p>
          <w:p w:rsidR="00DC1101" w:rsidRPr="00B77E83" w:rsidRDefault="00DC1101" w:rsidP="006659AF">
            <w:pPr>
              <w:pStyle w:val="gwp600a923cmsonormal"/>
              <w:shd w:val="clear" w:color="auto" w:fill="FFFFFF"/>
              <w:spacing w:before="0" w:beforeAutospacing="0" w:after="0" w:afterAutospacing="0"/>
              <w:jc w:val="both"/>
              <w:rPr>
                <w:b/>
                <w:color w:val="2D2D2D"/>
              </w:rPr>
            </w:pPr>
            <w:r w:rsidRPr="00B77E83">
              <w:rPr>
                <w:color w:val="2D2D2D"/>
              </w:rPr>
              <w:t>Wyciąg laboratoryjny dygestorium z obiegiem wymuszonym, wykonany z płyt wiórowych laminowanych o grubości 18 mm. Ściana przednia oraz jeden boków przeszklone. W wersji podstawowej wyposażony w zlewik chemoodporny, baterię pojedynczą oraz zawór gazowy do połączenia z butlą lub gazem sieciowym. Komora robocza wyłożona płytkami ceramicznymi, posiada odciąg do gazów ciężkich. Szafka dwudrzwiowa pod komorą zawiera syfon zlewu oraz regulator ciągu. Na przednim panelu umieszczony jest włącznik wentylatora (jego pracę sygnalizuje zapalenie się kontrolki). Przeznaczony do zastosowań w szkolnych pracowniach chemicznych.</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rStyle w:val="Pogrubienie"/>
                <w:b w:val="0"/>
                <w:color w:val="2D2D2D"/>
              </w:rPr>
            </w:pPr>
            <w:r>
              <w:rPr>
                <w:rStyle w:val="Pogrubienie"/>
                <w:b w:val="0"/>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rStyle w:val="Pogrubienie"/>
                <w:b w:val="0"/>
                <w:color w:val="2D2D2D"/>
              </w:rPr>
            </w:pPr>
            <w:r>
              <w:rPr>
                <w:rStyle w:val="Pogrubienie"/>
                <w:b w:val="0"/>
                <w:color w:val="2D2D2D"/>
              </w:rPr>
              <w:t>1</w:t>
            </w:r>
          </w:p>
        </w:tc>
      </w:tr>
      <w:tr w:rsidR="00DC1101" w:rsidRPr="00B77E83" w:rsidTr="00DC1101">
        <w:trPr>
          <w:trHeight w:val="442"/>
        </w:trPr>
        <w:tc>
          <w:tcPr>
            <w:tcW w:w="8364" w:type="dxa"/>
            <w:gridSpan w:val="3"/>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rStyle w:val="Pogrubienie"/>
                <w:color w:val="2D2D2D"/>
              </w:rPr>
            </w:pPr>
            <w:r w:rsidRPr="00B77E83">
              <w:rPr>
                <w:rStyle w:val="Pogrubienie"/>
                <w:color w:val="2D2D2D"/>
              </w:rPr>
              <w:t>SALA GEOGRAFICZNA</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rStyle w:val="Pogrubienie"/>
                <w:color w:val="2D2D2D"/>
              </w:rPr>
            </w:pPr>
          </w:p>
        </w:tc>
      </w:tr>
      <w:tr w:rsidR="00DC1101" w:rsidRPr="00B77E83" w:rsidTr="00DC1101">
        <w:trPr>
          <w:trHeight w:val="83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Nawigacja piesza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Wyświetlacz  5 cali, 480 x 272 piksele Sterowanie   dotykowe poprzez wyświetlacz Rodzaj pamięci   flash, karta pamięci Wbudowana pamięć  4 GB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Mapa klimatyczna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Mapa dwustronna: na pierwszej stronie mapa świata z zaznaczonymi i nazwanymi krajobrazami występującymi na świecie, dodatkowo sześć zdjęć z przykładowymi krajobrazami. Na drugiej stronie mapa świata z zaznaczonymi strefami klimatycznymi występującymi na świecie, dodatkowo 10 klimatogramów dla charakterystycznych stacji z każdej strefy. Zalecany format min. 160 cm x 120 cm, skala 1:24 mln.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559"/>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Globus indukcyjny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Optymalne wymiary – wysokość: 35 –38 cm, średnica kuli: 25 cm, stopka plastikowa.</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Tellurium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Pr>
                <w:color w:val="2D2D2D"/>
              </w:rPr>
              <w:t>Plan miasta zagranicznego</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 miasta 1:15 000</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834"/>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Okazy skał i minerałów oraz przykłady skamieniałości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różnych skał i minerałów. Zestaw składa się min. z 40 okazów), wielkość pojedynczego okazu min. 3–4 cm.</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profili glebowych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Mapy samochodowe Polski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Polska mapa samochodowa polski 1:675 000</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Publikacje z obiektami wpisanymi na listę Dziedzictwa Kulturowego i Przyrodniczego. Album przedstawiający miejsca z listy światowego dziedzictwa UNESCO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2</w:t>
            </w:r>
            <w:r w:rsidR="00DC1101">
              <w:rPr>
                <w:color w:val="2D2D2D"/>
              </w:rPr>
              <w:t>0</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20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Publikacje i atrakcje turystyczne Europy Południowej, Bliskiego Wschodu, Krajów </w:t>
            </w:r>
            <w:r>
              <w:rPr>
                <w:color w:val="2D2D2D"/>
              </w:rPr>
              <w:t>Alpejskich</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Deszczomierz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Deszczomierz z przezroczystego tworzywa sztucznego do nakładania na standardowy kij/pręt, wysokość ok. 24 cm.</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Barometr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Barometr mechaniczny, zakres pomiaru ciśnienia: od min. 960 hPa do co najmniej 1060 hPa, dokładność pomiaru: ok. +/- 5 hPa.</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Wiatromierz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Wiatromierz elektroniczny, z dużym, przejrzystym wyświetlaczem. Pomiar aktualnych, przeciętnych i maksymalnych szybkości wiatru w km/h i w skali Beauforta. Zakres pomiaru: 2,5–150 km/h, rozdzielczość: min. 0,1 km/h (dla szybkości wiatru od 0–19,9 km/h) i min. 1 km/h (dla prędkości wiatru od 20–150 km/h), dokładność: min. +/-4%, zasilanie bateryjne.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1666"/>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Higrometr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Higrometr, elektroniczny higrometr z termometrem i zewnętrzną sondą umieszczoną na kablu o długości min. 95 cm. Zakres pomiaru temperatury od min. -50o C do co najmniej. 70o C , zakres pomiaru wilgotności od min. 10% do co najmniej 99%. Rozdzielczość pomiaru temperatury min. 0,1o C, rozdzielczość pomiaru wilgotności min. 1%. Zasilanie bateryjne.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areometrów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zestawie min. 5 areometrów w zakresie min. 0,700 –1,300 g/cm3, długość całkowita min. od 18 cm do 30 cm max.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w:t>
            </w:r>
          </w:p>
        </w:tc>
      </w:tr>
    </w:tbl>
    <w:p w:rsidR="00762B2F" w:rsidRPr="001D3141" w:rsidRDefault="00762B2F" w:rsidP="00CA7844">
      <w:pPr>
        <w:pStyle w:val="gwp600a923cmsonormal"/>
        <w:shd w:val="clear" w:color="auto" w:fill="FFFFFF"/>
        <w:spacing w:before="0" w:beforeAutospacing="0" w:after="0" w:afterAutospacing="0"/>
        <w:rPr>
          <w:b/>
          <w:color w:val="2D2D2D"/>
          <w:szCs w:val="17"/>
        </w:rPr>
      </w:pPr>
    </w:p>
    <w:sectPr w:rsidR="00762B2F" w:rsidRPr="001D3141" w:rsidSect="008F2D7D">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0B1" w:rsidRDefault="003340B1" w:rsidP="00894EBA">
      <w:pPr>
        <w:spacing w:after="0" w:line="240" w:lineRule="auto"/>
      </w:pPr>
      <w:r>
        <w:separator/>
      </w:r>
    </w:p>
  </w:endnote>
  <w:endnote w:type="continuationSeparator" w:id="0">
    <w:p w:rsidR="003340B1" w:rsidRDefault="003340B1" w:rsidP="00894E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9AF" w:rsidRDefault="006659AF">
    <w:pPr>
      <w:pStyle w:val="Stopka"/>
    </w:pPr>
  </w:p>
  <w:p w:rsidR="006659AF" w:rsidRPr="000B7F90" w:rsidRDefault="006659AF" w:rsidP="00894EBA">
    <w:pPr>
      <w:pStyle w:val="Stopka"/>
      <w:jc w:val="center"/>
      <w:rPr>
        <w:rFonts w:ascii="Cambria" w:hAnsi="Cambria" w:cs="Calibri"/>
        <w:b/>
        <w:sz w:val="20"/>
      </w:rPr>
    </w:pPr>
    <w:r>
      <w:rPr>
        <w:rFonts w:ascii="Calibri" w:hAnsi="Calibri"/>
        <w:noProof/>
      </w:rPr>
      <w:drawing>
        <wp:anchor distT="0" distB="0" distL="114300" distR="114300" simplePos="0" relativeHeight="251660288" behindDoc="1" locked="0" layoutInCell="1" allowOverlap="1">
          <wp:simplePos x="0" y="0"/>
          <wp:positionH relativeFrom="column">
            <wp:posOffset>31115</wp:posOffset>
          </wp:positionH>
          <wp:positionV relativeFrom="paragraph">
            <wp:posOffset>-43180</wp:posOffset>
          </wp:positionV>
          <wp:extent cx="5676900" cy="548640"/>
          <wp:effectExtent l="19050" t="0" r="0" b="0"/>
          <wp:wrapNone/>
          <wp:docPr id="1"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srcRect/>
                  <a:stretch>
                    <a:fillRect/>
                  </a:stretch>
                </pic:blipFill>
                <pic:spPr bwMode="auto">
                  <a:xfrm>
                    <a:off x="0" y="0"/>
                    <a:ext cx="5676900" cy="548640"/>
                  </a:xfrm>
                  <a:prstGeom prst="rect">
                    <a:avLst/>
                  </a:prstGeom>
                  <a:noFill/>
                  <a:ln w="9525">
                    <a:noFill/>
                    <a:miter lim="800000"/>
                    <a:headEnd/>
                    <a:tailEnd/>
                  </a:ln>
                </pic:spPr>
              </pic:pic>
            </a:graphicData>
          </a:graphic>
        </wp:anchor>
      </w:drawing>
    </w:r>
  </w:p>
  <w:p w:rsidR="006659AF" w:rsidRDefault="006659AF" w:rsidP="00894EBA">
    <w:pPr>
      <w:pStyle w:val="Stopka"/>
      <w:jc w:val="center"/>
      <w:rPr>
        <w:rFonts w:ascii="Cambria" w:hAnsi="Cambria" w:cs="Calibri"/>
        <w:b/>
        <w:sz w:val="20"/>
      </w:rPr>
    </w:pPr>
  </w:p>
  <w:p w:rsidR="006659AF" w:rsidRDefault="006659AF" w:rsidP="00894EBA">
    <w:pPr>
      <w:pStyle w:val="Stopka"/>
      <w:jc w:val="center"/>
      <w:rPr>
        <w:rFonts w:ascii="Cambria" w:hAnsi="Cambria" w:cs="Calibri"/>
        <w:b/>
        <w:sz w:val="20"/>
      </w:rPr>
    </w:pPr>
  </w:p>
  <w:p w:rsidR="006659AF" w:rsidRDefault="006659AF" w:rsidP="00894EBA">
    <w:pPr>
      <w:pStyle w:val="Stopka"/>
      <w:rPr>
        <w:rFonts w:ascii="Cambria" w:hAnsi="Cambria" w:cs="Calibri"/>
        <w:b/>
        <w:sz w:val="20"/>
      </w:rPr>
    </w:pPr>
  </w:p>
  <w:p w:rsidR="006659AF" w:rsidRPr="00894EBA" w:rsidRDefault="006659AF" w:rsidP="00894EBA">
    <w:pPr>
      <w:pStyle w:val="Stopka"/>
      <w:jc w:val="center"/>
      <w:rPr>
        <w:rFonts w:ascii="Calibri" w:hAnsi="Calibri"/>
      </w:rPr>
    </w:pPr>
    <w:r w:rsidRPr="00DD1CCB">
      <w:rPr>
        <w:rFonts w:ascii="Cambria" w:hAnsi="Cambria" w:cs="Calibri"/>
        <w:b/>
        <w:sz w:val="20"/>
      </w:rPr>
      <w:t xml:space="preserve">Projekt </w:t>
    </w:r>
    <w:r>
      <w:rPr>
        <w:rFonts w:ascii="Cambria" w:hAnsi="Cambria" w:cs="Calibri"/>
        <w:b/>
        <w:sz w:val="20"/>
      </w:rPr>
      <w:t>„Nowoczesne szkoły bez barier SP Tuławki i Bukwałd”</w:t>
    </w:r>
    <w:r w:rsidRPr="00104F21">
      <w:rPr>
        <w:rFonts w:ascii="Cambria" w:hAnsi="Cambria" w:cs="Calibri"/>
        <w:sz w:val="20"/>
      </w:rPr>
      <w:t xml:space="preserve"> </w:t>
    </w:r>
    <w:r>
      <w:rPr>
        <w:rFonts w:ascii="Cambria" w:hAnsi="Cambria" w:cs="Calibri"/>
        <w:sz w:val="20"/>
      </w:rPr>
      <w:br/>
    </w:r>
    <w:r w:rsidRPr="00104F21">
      <w:rPr>
        <w:rFonts w:ascii="Cambria" w:hAnsi="Cambria" w:cs="Calibri"/>
        <w:sz w:val="20"/>
      </w:rPr>
      <w:t>jest współfinansowany ze środków Unii Europejskiej w ramach Europejskiego Funduszu Społeczneg</w:t>
    </w:r>
    <w:r>
      <w:rPr>
        <w:rFonts w:ascii="Cambria" w:hAnsi="Cambria" w:cs="Calibri"/>
        <w:sz w:val="20"/>
      </w:rPr>
      <w:t>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0B1" w:rsidRDefault="003340B1" w:rsidP="00894EBA">
      <w:pPr>
        <w:spacing w:after="0" w:line="240" w:lineRule="auto"/>
      </w:pPr>
      <w:r>
        <w:separator/>
      </w:r>
    </w:p>
  </w:footnote>
  <w:footnote w:type="continuationSeparator" w:id="0">
    <w:p w:rsidR="003340B1" w:rsidRDefault="003340B1" w:rsidP="00894E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5DD7"/>
    <w:multiLevelType w:val="hybridMultilevel"/>
    <w:tmpl w:val="8BC22316"/>
    <w:lvl w:ilvl="0" w:tplc="EC1A5F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962614"/>
    <w:multiLevelType w:val="hybridMultilevel"/>
    <w:tmpl w:val="17FED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44002E"/>
    <w:multiLevelType w:val="hybridMultilevel"/>
    <w:tmpl w:val="E4D8EAEE"/>
    <w:lvl w:ilvl="0" w:tplc="C1100C64">
      <w:start w:val="1"/>
      <w:numFmt w:val="none"/>
      <w:lvlText w:val="X."/>
      <w:lvlJc w:val="right"/>
      <w:pPr>
        <w:tabs>
          <w:tab w:val="num" w:pos="1620"/>
        </w:tabs>
        <w:ind w:left="1620" w:hanging="180"/>
      </w:pPr>
      <w:rPr>
        <w:rFonts w:hint="default"/>
      </w:rPr>
    </w:lvl>
    <w:lvl w:ilvl="1" w:tplc="6E0ADB76">
      <w:start w:val="1"/>
      <w:numFmt w:val="lowerLetter"/>
      <w:lvlText w:val="%2)"/>
      <w:lvlJc w:val="left"/>
      <w:pPr>
        <w:tabs>
          <w:tab w:val="num" w:pos="1440"/>
        </w:tabs>
        <w:ind w:left="1440" w:hanging="360"/>
      </w:pPr>
      <w:rPr>
        <w:rFonts w:hint="default"/>
      </w:rPr>
    </w:lvl>
    <w:lvl w:ilvl="2" w:tplc="C2C493A2">
      <w:start w:val="1"/>
      <w:numFmt w:val="none"/>
      <w:lvlText w:val="XI."/>
      <w:lvlJc w:val="right"/>
      <w:pPr>
        <w:tabs>
          <w:tab w:val="num" w:pos="2160"/>
        </w:tabs>
        <w:ind w:left="2160" w:hanging="180"/>
      </w:pPr>
      <w:rPr>
        <w:rFonts w:hint="default"/>
      </w:rPr>
    </w:lvl>
    <w:lvl w:ilvl="3" w:tplc="CD36181E">
      <w:start w:val="1"/>
      <w:numFmt w:val="none"/>
      <w:lvlText w:val="1."/>
      <w:lvlJc w:val="left"/>
      <w:pPr>
        <w:tabs>
          <w:tab w:val="num" w:pos="2880"/>
        </w:tabs>
        <w:ind w:left="2880" w:hanging="360"/>
      </w:pPr>
      <w:rPr>
        <w:rFonts w:hint="default"/>
        <w:b w:val="0"/>
      </w:rPr>
    </w:lvl>
    <w:lvl w:ilvl="4" w:tplc="8F2E7386">
      <w:start w:val="1"/>
      <w:numFmt w:val="none"/>
      <w:lvlText w:val="2."/>
      <w:lvlJc w:val="left"/>
      <w:pPr>
        <w:tabs>
          <w:tab w:val="num" w:pos="3600"/>
        </w:tabs>
        <w:ind w:left="3600" w:hanging="360"/>
      </w:pPr>
      <w:rPr>
        <w:rFonts w:hint="default"/>
        <w:b w:val="0"/>
      </w:rPr>
    </w:lvl>
    <w:lvl w:ilvl="5" w:tplc="4C92E624">
      <w:start w:val="1"/>
      <w:numFmt w:val="none"/>
      <w:lvlText w:val="3."/>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ED94D86"/>
    <w:multiLevelType w:val="hybridMultilevel"/>
    <w:tmpl w:val="36EC8A60"/>
    <w:lvl w:ilvl="0" w:tplc="2E78F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8972A9"/>
    <w:multiLevelType w:val="hybridMultilevel"/>
    <w:tmpl w:val="A732A690"/>
    <w:lvl w:ilvl="0" w:tplc="63D693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5B48CE"/>
    <w:multiLevelType w:val="hybridMultilevel"/>
    <w:tmpl w:val="389067A2"/>
    <w:lvl w:ilvl="0" w:tplc="04150017">
      <w:start w:val="1"/>
      <w:numFmt w:val="lowerLetter"/>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206D2001"/>
    <w:multiLevelType w:val="hybridMultilevel"/>
    <w:tmpl w:val="9F224AF2"/>
    <w:lvl w:ilvl="0" w:tplc="BE74E5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C516C6D"/>
    <w:multiLevelType w:val="hybridMultilevel"/>
    <w:tmpl w:val="A808B5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A3139B"/>
    <w:multiLevelType w:val="hybridMultilevel"/>
    <w:tmpl w:val="DB1A21FC"/>
    <w:lvl w:ilvl="0" w:tplc="25E89452">
      <w:start w:val="1"/>
      <w:numFmt w:val="none"/>
      <w:lvlText w:val="I."/>
      <w:lvlJc w:val="right"/>
      <w:pPr>
        <w:tabs>
          <w:tab w:val="num" w:pos="4320"/>
        </w:tabs>
        <w:ind w:left="4320" w:hanging="180"/>
      </w:pPr>
      <w:rPr>
        <w:rFonts w:hint="default"/>
        <w:u w:val="singl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F3D7204"/>
    <w:multiLevelType w:val="hybridMultilevel"/>
    <w:tmpl w:val="71625076"/>
    <w:lvl w:ilvl="0" w:tplc="0415000F">
      <w:start w:val="2"/>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445C36F5"/>
    <w:multiLevelType w:val="hybridMultilevel"/>
    <w:tmpl w:val="5A000F4E"/>
    <w:lvl w:ilvl="0" w:tplc="52608BC4">
      <w:start w:val="1"/>
      <w:numFmt w:val="none"/>
      <w:lvlText w:val="VI."/>
      <w:lvlJc w:val="right"/>
      <w:pPr>
        <w:tabs>
          <w:tab w:val="num" w:pos="3780"/>
        </w:tabs>
        <w:ind w:left="3780" w:hanging="180"/>
      </w:pPr>
      <w:rPr>
        <w:rFonts w:hint="default"/>
      </w:rPr>
    </w:lvl>
    <w:lvl w:ilvl="1" w:tplc="94563324">
      <w:start w:val="1"/>
      <w:numFmt w:val="none"/>
      <w:lvlText w:val="1."/>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58D66BA"/>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CB86559"/>
    <w:multiLevelType w:val="hybridMultilevel"/>
    <w:tmpl w:val="53DED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ED63788"/>
    <w:multiLevelType w:val="hybridMultilevel"/>
    <w:tmpl w:val="DAB60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1A859EE"/>
    <w:multiLevelType w:val="hybridMultilevel"/>
    <w:tmpl w:val="DA9405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221E51"/>
    <w:multiLevelType w:val="hybridMultilevel"/>
    <w:tmpl w:val="CD56F08C"/>
    <w:lvl w:ilvl="0" w:tplc="A9D82D1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75E6E87"/>
    <w:multiLevelType w:val="hybridMultilevel"/>
    <w:tmpl w:val="2460BB6A"/>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5C207F35"/>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9">
    <w:nsid w:val="66C30274"/>
    <w:multiLevelType w:val="hybridMultilevel"/>
    <w:tmpl w:val="2DC64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E405734"/>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F24125A"/>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1F76CA0"/>
    <w:multiLevelType w:val="hybridMultilevel"/>
    <w:tmpl w:val="96BC4BE2"/>
    <w:lvl w:ilvl="0" w:tplc="96FE39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784E1803"/>
    <w:multiLevelType w:val="hybridMultilevel"/>
    <w:tmpl w:val="E332A218"/>
    <w:lvl w:ilvl="0" w:tplc="D7821D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90E71CA"/>
    <w:multiLevelType w:val="hybridMultilevel"/>
    <w:tmpl w:val="1F823A1E"/>
    <w:lvl w:ilvl="0" w:tplc="0A3AB22A">
      <w:start w:val="1"/>
      <w:numFmt w:val="decimal"/>
      <w:lvlText w:val="%1."/>
      <w:lvlJc w:val="left"/>
      <w:pPr>
        <w:ind w:left="502"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9ED5243"/>
    <w:multiLevelType w:val="hybridMultilevel"/>
    <w:tmpl w:val="3432B0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8"/>
  </w:num>
  <w:num w:numId="2">
    <w:abstractNumId w:val="8"/>
  </w:num>
  <w:num w:numId="3">
    <w:abstractNumId w:val="6"/>
  </w:num>
  <w:num w:numId="4">
    <w:abstractNumId w:val="7"/>
  </w:num>
  <w:num w:numId="5">
    <w:abstractNumId w:val="0"/>
  </w:num>
  <w:num w:numId="6">
    <w:abstractNumId w:val="3"/>
  </w:num>
  <w:num w:numId="7">
    <w:abstractNumId w:val="25"/>
  </w:num>
  <w:num w:numId="8">
    <w:abstractNumId w:val="1"/>
  </w:num>
  <w:num w:numId="9">
    <w:abstractNumId w:val="10"/>
  </w:num>
  <w:num w:numId="10">
    <w:abstractNumId w:val="15"/>
  </w:num>
  <w:num w:numId="11">
    <w:abstractNumId w:val="4"/>
  </w:num>
  <w:num w:numId="12">
    <w:abstractNumId w:val="22"/>
  </w:num>
  <w:num w:numId="13">
    <w:abstractNumId w:val="19"/>
  </w:num>
  <w:num w:numId="14">
    <w:abstractNumId w:val="2"/>
  </w:num>
  <w:num w:numId="15">
    <w:abstractNumId w:val="12"/>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0"/>
  </w:num>
  <w:num w:numId="22">
    <w:abstractNumId w:val="17"/>
  </w:num>
  <w:num w:numId="23">
    <w:abstractNumId w:val="21"/>
  </w:num>
  <w:num w:numId="24">
    <w:abstractNumId w:val="13"/>
  </w:num>
  <w:num w:numId="25">
    <w:abstractNumId w:val="14"/>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606E2C"/>
    <w:rsid w:val="002C53F9"/>
    <w:rsid w:val="003340B1"/>
    <w:rsid w:val="0043144F"/>
    <w:rsid w:val="004725F3"/>
    <w:rsid w:val="004A4C95"/>
    <w:rsid w:val="004E3F54"/>
    <w:rsid w:val="00606E2C"/>
    <w:rsid w:val="006246B1"/>
    <w:rsid w:val="006659AF"/>
    <w:rsid w:val="006D624A"/>
    <w:rsid w:val="007502FD"/>
    <w:rsid w:val="00762B2F"/>
    <w:rsid w:val="00774B57"/>
    <w:rsid w:val="00812687"/>
    <w:rsid w:val="00894EBA"/>
    <w:rsid w:val="008D3B72"/>
    <w:rsid w:val="008F2D7D"/>
    <w:rsid w:val="00BD6CE8"/>
    <w:rsid w:val="00C731BB"/>
    <w:rsid w:val="00C84DF5"/>
    <w:rsid w:val="00CA31E3"/>
    <w:rsid w:val="00CA7844"/>
    <w:rsid w:val="00DC1101"/>
    <w:rsid w:val="00E37892"/>
    <w:rsid w:val="00EE5DAA"/>
    <w:rsid w:val="00F4004E"/>
    <w:rsid w:val="00F66835"/>
    <w:rsid w:val="00F953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2" w:uiPriority="0"/>
    <w:lsdException w:name="Body Text 2"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5" w:uiPriority="0"/>
    <w:lsdException w:name="Table Grid 6" w:uiPriority="0"/>
    <w:lsdException w:name="Table Grid 7" w:uiPriority="0"/>
    <w:lsdException w:name="Table List 3" w:uiPriority="0"/>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2D7D"/>
  </w:style>
  <w:style w:type="paragraph" w:styleId="Nagwek1">
    <w:name w:val="heading 1"/>
    <w:basedOn w:val="Normalny"/>
    <w:next w:val="Normalny"/>
    <w:link w:val="Nagwek1Znak"/>
    <w:qFormat/>
    <w:rsid w:val="00774B57"/>
    <w:pPr>
      <w:keepNext/>
      <w:spacing w:after="0" w:line="240" w:lineRule="auto"/>
      <w:jc w:val="center"/>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774B57"/>
    <w:pPr>
      <w:keepNext/>
      <w:spacing w:before="240" w:after="0" w:line="240" w:lineRule="auto"/>
      <w:outlineLvl w:val="1"/>
    </w:pPr>
    <w:rPr>
      <w:rFonts w:ascii="Times New Roman" w:eastAsia="Times New Roman" w:hAnsi="Times New Roman" w:cs="Times New Roman"/>
      <w:b/>
      <w:bCs/>
      <w:sz w:val="20"/>
      <w:szCs w:val="24"/>
      <w:lang w:eastAsia="pl-PL"/>
    </w:rPr>
  </w:style>
  <w:style w:type="paragraph" w:styleId="Nagwek3">
    <w:name w:val="heading 3"/>
    <w:basedOn w:val="Normalny"/>
    <w:next w:val="Normalny"/>
    <w:link w:val="Nagwek3Znak"/>
    <w:semiHidden/>
    <w:unhideWhenUsed/>
    <w:qFormat/>
    <w:rsid w:val="00774B57"/>
    <w:pPr>
      <w:keepNext/>
      <w:spacing w:before="240" w:after="60" w:line="240" w:lineRule="auto"/>
      <w:outlineLvl w:val="2"/>
    </w:pPr>
    <w:rPr>
      <w:rFonts w:ascii="Cambria" w:eastAsia="Times New Roman" w:hAnsi="Cambria" w:cs="Times New Roman"/>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4B57"/>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774B57"/>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semiHidden/>
    <w:rsid w:val="00774B57"/>
    <w:rPr>
      <w:rFonts w:ascii="Cambria" w:eastAsia="Times New Roman" w:hAnsi="Cambria" w:cs="Times New Roman"/>
      <w:b/>
      <w:bCs/>
      <w:sz w:val="26"/>
      <w:szCs w:val="26"/>
      <w:lang w:eastAsia="pl-PL"/>
    </w:rPr>
  </w:style>
  <w:style w:type="character" w:customStyle="1" w:styleId="TekstdymkaZnak">
    <w:name w:val="Tekst dymka Znak"/>
    <w:basedOn w:val="Domylnaczcionkaakapitu"/>
    <w:link w:val="Tekstdymka"/>
    <w:semiHidden/>
    <w:rsid w:val="00774B57"/>
    <w:rPr>
      <w:rFonts w:ascii="Tahoma" w:eastAsia="Times New Roman" w:hAnsi="Tahoma" w:cs="Tahoma"/>
      <w:sz w:val="16"/>
      <w:szCs w:val="16"/>
      <w:lang w:eastAsia="pl-PL"/>
    </w:rPr>
  </w:style>
  <w:style w:type="paragraph" w:styleId="Tekstdymka">
    <w:name w:val="Balloon Text"/>
    <w:basedOn w:val="Normalny"/>
    <w:link w:val="TekstdymkaZnak"/>
    <w:semiHidden/>
    <w:rsid w:val="00774B57"/>
    <w:pPr>
      <w:spacing w:after="0" w:line="240" w:lineRule="auto"/>
    </w:pPr>
    <w:rPr>
      <w:rFonts w:ascii="Tahoma" w:eastAsia="Times New Roman" w:hAnsi="Tahoma" w:cs="Tahoma"/>
      <w:sz w:val="16"/>
      <w:szCs w:val="16"/>
      <w:lang w:eastAsia="pl-PL"/>
    </w:rPr>
  </w:style>
  <w:style w:type="character" w:customStyle="1" w:styleId="NagwekZnak">
    <w:name w:val="Nagłówek Znak"/>
    <w:basedOn w:val="Domylnaczcionkaakapitu"/>
    <w:link w:val="Nagwek"/>
    <w:uiPriority w:val="99"/>
    <w:rsid w:val="00774B5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774B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74B5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74B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774B5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774B57"/>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74B57"/>
    <w:rPr>
      <w:rFonts w:ascii="Times New Roman" w:eastAsia="Times New Roman" w:hAnsi="Times New Roman" w:cs="Times New Roman"/>
      <w:b/>
      <w:bCs/>
      <w:sz w:val="28"/>
      <w:szCs w:val="24"/>
      <w:lang w:eastAsia="pl-PL"/>
    </w:rPr>
  </w:style>
  <w:style w:type="character" w:customStyle="1" w:styleId="TekstpodstawowywcityZnak">
    <w:name w:val="Tekst podstawowy wcięty Znak"/>
    <w:basedOn w:val="Domylnaczcionkaakapitu"/>
    <w:link w:val="Tekstpodstawowywcity"/>
    <w:rsid w:val="00774B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774B5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rsid w:val="00774B57"/>
    <w:rPr>
      <w:rFonts w:ascii="Times New Roman" w:eastAsia="Times New Roman" w:hAnsi="Times New Roman" w:cs="Times New Roman"/>
      <w:sz w:val="24"/>
      <w:szCs w:val="24"/>
      <w:lang w:eastAsia="pl-PL"/>
    </w:rPr>
  </w:style>
  <w:style w:type="paragraph" w:styleId="Tekstpodstawowyzwciciem2">
    <w:name w:val="Body Text First Indent 2"/>
    <w:basedOn w:val="Normalny"/>
    <w:link w:val="Tekstpodstawowyzwciciem2Znak"/>
    <w:rsid w:val="00774B5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qFormat/>
    <w:rsid w:val="00774B57"/>
    <w:rPr>
      <w:i/>
      <w:iC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774B57"/>
    <w:rPr>
      <w:rFonts w:ascii="Times New Roman" w:eastAsia="Times New Roman" w:hAnsi="Times New Roman" w:cs="Times New Roman"/>
      <w:sz w:val="20"/>
      <w:szCs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74B5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74B5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774B57"/>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774B57"/>
    <w:rPr>
      <w:b/>
      <w:bCs/>
    </w:rPr>
  </w:style>
  <w:style w:type="character" w:customStyle="1" w:styleId="TekstkomentarzaZnak">
    <w:name w:val="Tekst komentarza Znak"/>
    <w:basedOn w:val="Domylnaczcionkaakapitu"/>
    <w:link w:val="Tekstkomentarza"/>
    <w:rsid w:val="00774B5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774B57"/>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rsid w:val="00774B57"/>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rsid w:val="00774B57"/>
    <w:rPr>
      <w:b/>
      <w:bCs/>
    </w:rPr>
  </w:style>
  <w:style w:type="paragraph" w:styleId="Akapitzlist">
    <w:name w:val="List Paragraph"/>
    <w:basedOn w:val="Normalny"/>
    <w:uiPriority w:val="34"/>
    <w:qFormat/>
    <w:rsid w:val="00774B57"/>
    <w:pPr>
      <w:spacing w:after="0" w:line="240" w:lineRule="auto"/>
      <w:ind w:left="708"/>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74B5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774B57"/>
    <w:pPr>
      <w:spacing w:after="120" w:line="240" w:lineRule="auto"/>
    </w:pPr>
    <w:rPr>
      <w:rFonts w:ascii="Times New Roman" w:eastAsia="Times New Roman" w:hAnsi="Times New Roman" w:cs="Times New Roman"/>
      <w:sz w:val="24"/>
      <w:szCs w:val="24"/>
      <w:lang w:eastAsia="pl-PL"/>
    </w:rPr>
  </w:style>
  <w:style w:type="character" w:customStyle="1" w:styleId="DataZnak">
    <w:name w:val="Data Znak"/>
    <w:basedOn w:val="Domylnaczcionkaakapitu"/>
    <w:link w:val="Data"/>
    <w:rsid w:val="00774B57"/>
    <w:rPr>
      <w:rFonts w:ascii="Courier New" w:eastAsia="Times New Roman" w:hAnsi="Courier New" w:cs="Times New Roman"/>
      <w:sz w:val="24"/>
      <w:szCs w:val="20"/>
      <w:lang w:eastAsia="pl-PL"/>
    </w:rPr>
  </w:style>
  <w:style w:type="paragraph" w:styleId="Data">
    <w:name w:val="Date"/>
    <w:basedOn w:val="Tekstpodstawowy"/>
    <w:next w:val="Normalny"/>
    <w:link w:val="DataZnak"/>
    <w:rsid w:val="00774B57"/>
    <w:pPr>
      <w:spacing w:after="720"/>
      <w:ind w:left="4680"/>
    </w:pPr>
    <w:rPr>
      <w:rFonts w:ascii="Courier New" w:hAnsi="Courier New"/>
      <w:szCs w:val="20"/>
    </w:rPr>
  </w:style>
  <w:style w:type="character" w:customStyle="1" w:styleId="Tekstpodstawowy2Znak">
    <w:name w:val="Tekst podstawowy 2 Znak"/>
    <w:basedOn w:val="Domylnaczcionkaakapitu"/>
    <w:link w:val="Tekstpodstawowy2"/>
    <w:rsid w:val="00774B5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4B57"/>
    <w:pPr>
      <w:spacing w:after="120" w:line="480" w:lineRule="auto"/>
    </w:pPr>
    <w:rPr>
      <w:rFonts w:ascii="Times New Roman" w:eastAsia="Times New Roman" w:hAnsi="Times New Roman" w:cs="Times New Roman"/>
      <w:sz w:val="24"/>
      <w:szCs w:val="24"/>
      <w:lang w:eastAsia="pl-PL"/>
    </w:rPr>
  </w:style>
  <w:style w:type="character" w:customStyle="1" w:styleId="HTML-wstpniesformatowanyZnak">
    <w:name w:val="HTML - wstępnie sformatowany Znak"/>
    <w:basedOn w:val="Domylnaczcionkaakapitu"/>
    <w:link w:val="HTML-wstpniesformatowany"/>
    <w:uiPriority w:val="99"/>
    <w:rsid w:val="00774B57"/>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unhideWhenUsed/>
    <w:rsid w:val="00774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gwp600a923cmsonormal">
    <w:name w:val="gwp600a923c_msonormal"/>
    <w:basedOn w:val="Normalny"/>
    <w:rsid w:val="00774B5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rsid w:val="006246B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A7844"/>
    <w:rPr>
      <w:vertAlign w:val="superscript"/>
    </w:rPr>
  </w:style>
  <w:style w:type="character" w:styleId="Odwoanieprzypisukocowego">
    <w:name w:val="endnote reference"/>
    <w:semiHidden/>
    <w:rsid w:val="00CA7844"/>
    <w:rPr>
      <w:vertAlign w:val="superscript"/>
    </w:rPr>
  </w:style>
  <w:style w:type="character" w:styleId="Hipercze">
    <w:name w:val="Hyperlink"/>
    <w:uiPriority w:val="99"/>
    <w:rsid w:val="00CA7844"/>
    <w:rPr>
      <w:color w:val="0000FF"/>
      <w:u w:val="single"/>
    </w:rPr>
  </w:style>
  <w:style w:type="character" w:customStyle="1" w:styleId="item">
    <w:name w:val="item"/>
    <w:basedOn w:val="Domylnaczcionkaakapitu"/>
    <w:rsid w:val="00CA7844"/>
  </w:style>
  <w:style w:type="character" w:styleId="Odwoaniedokomentarza">
    <w:name w:val="annotation reference"/>
    <w:rsid w:val="00CA7844"/>
    <w:rPr>
      <w:sz w:val="16"/>
      <w:szCs w:val="16"/>
    </w:rPr>
  </w:style>
  <w:style w:type="paragraph" w:customStyle="1" w:styleId="Akapitzlist1">
    <w:name w:val="Akapit z listą1"/>
    <w:basedOn w:val="Normalny"/>
    <w:rsid w:val="00CA7844"/>
    <w:pPr>
      <w:spacing w:after="200" w:line="276" w:lineRule="auto"/>
      <w:ind w:left="720"/>
    </w:pPr>
    <w:rPr>
      <w:rFonts w:ascii="Calibri" w:eastAsia="Times New Roman" w:hAnsi="Calibri" w:cs="Times New Roman"/>
    </w:rPr>
  </w:style>
  <w:style w:type="paragraph" w:customStyle="1" w:styleId="Wiersztematu">
    <w:name w:val="Wiersz tematu"/>
    <w:basedOn w:val="Tekstpodstawowy"/>
    <w:next w:val="Tekstpodstawowy"/>
    <w:rsid w:val="00CA7844"/>
    <w:pPr>
      <w:keepNext/>
      <w:keepLines/>
      <w:spacing w:after="240"/>
      <w:jc w:val="center"/>
    </w:pPr>
    <w:rPr>
      <w:rFonts w:ascii="Courier New" w:hAnsi="Courier New"/>
      <w:szCs w:val="20"/>
      <w:u w:val="single"/>
    </w:rPr>
  </w:style>
  <w:style w:type="table" w:customStyle="1" w:styleId="Jasnasiatkaakcent11">
    <w:name w:val="Jasna siatka — akcent 11"/>
    <w:basedOn w:val="Standardowy"/>
    <w:uiPriority w:val="62"/>
    <w:rsid w:val="00CA7844"/>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Opis">
    <w:name w:val="Opis"/>
    <w:basedOn w:val="Normalny"/>
    <w:rsid w:val="00CA7844"/>
    <w:pPr>
      <w:keepLines/>
      <w:spacing w:before="30" w:after="30" w:line="240" w:lineRule="auto"/>
      <w:ind w:left="567"/>
      <w:jc w:val="both"/>
    </w:pPr>
    <w:rPr>
      <w:rFonts w:ascii="Times New Roman" w:eastAsia="Times New Roman" w:hAnsi="Times New Roman" w:cs="Times New Roman"/>
      <w:lang w:eastAsia="pl-PL"/>
    </w:rPr>
  </w:style>
  <w:style w:type="paragraph" w:styleId="Listanumerowana">
    <w:name w:val="List Number"/>
    <w:basedOn w:val="Normalny"/>
    <w:rsid w:val="00CA7844"/>
    <w:pPr>
      <w:keepLines/>
      <w:spacing w:after="30" w:line="240" w:lineRule="auto"/>
      <w:ind w:left="851" w:hanging="284"/>
      <w:jc w:val="both"/>
    </w:pPr>
    <w:rPr>
      <w:rFonts w:ascii="Times New Roman" w:eastAsia="Times New Roman" w:hAnsi="Times New Roman" w:cs="Times New Roman"/>
      <w:lang w:eastAsia="pl-PL"/>
    </w:rPr>
  </w:style>
  <w:style w:type="table" w:customStyle="1" w:styleId="Jasnasiatka1">
    <w:name w:val="Jasna siatka1"/>
    <w:basedOn w:val="Standardowy"/>
    <w:uiPriority w:val="62"/>
    <w:rsid w:val="00CA7844"/>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ela-Siatka5">
    <w:name w:val="Table Grid 5"/>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A7844"/>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Wspczesny">
    <w:name w:val="Table Contemporary"/>
    <w:basedOn w:val="Standardowy"/>
    <w:rsid w:val="00CA7844"/>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Lista3">
    <w:name w:val="Table List 3"/>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Default">
    <w:name w:val="Default"/>
    <w:rsid w:val="00CA784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MSHeadL7">
    <w:name w:val="CMS Head L7"/>
    <w:basedOn w:val="Normalny"/>
    <w:rsid w:val="00CA7844"/>
    <w:pPr>
      <w:spacing w:after="240" w:line="240" w:lineRule="auto"/>
      <w:ind w:left="850"/>
      <w:outlineLvl w:val="6"/>
    </w:pPr>
    <w:rPr>
      <w:rFonts w:ascii="Times New Roman" w:eastAsia="Times New Roman" w:hAnsi="Times New Roman" w:cs="Times New Roman"/>
      <w:szCs w:val="24"/>
      <w:lang w:val="en-GB"/>
    </w:rPr>
  </w:style>
  <w:style w:type="character" w:customStyle="1" w:styleId="FontStyle42">
    <w:name w:val="Font Style42"/>
    <w:rsid w:val="00CA7844"/>
    <w:rPr>
      <w:rFonts w:ascii="Times New Roman" w:hAnsi="Times New Roman" w:cs="Times New Roman"/>
      <w:b/>
      <w:bCs/>
      <w:sz w:val="22"/>
      <w:szCs w:val="22"/>
    </w:rPr>
  </w:style>
  <w:style w:type="character" w:customStyle="1" w:styleId="FontStyle44">
    <w:name w:val="Font Style44"/>
    <w:rsid w:val="00CA7844"/>
    <w:rPr>
      <w:rFonts w:ascii="Times New Roman" w:hAnsi="Times New Roman" w:cs="Times New Roman"/>
      <w:sz w:val="22"/>
      <w:szCs w:val="22"/>
    </w:rPr>
  </w:style>
  <w:style w:type="paragraph" w:customStyle="1" w:styleId="Style5">
    <w:name w:val="Style5"/>
    <w:basedOn w:val="Normalny"/>
    <w:rsid w:val="00CA784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a">
    <w:name w:val="Знак Знак"/>
    <w:basedOn w:val="Normalny"/>
    <w:rsid w:val="00CA784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3215</Words>
  <Characters>19290</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jaczek</dc:creator>
  <cp:lastModifiedBy>ZP</cp:lastModifiedBy>
  <cp:revision>2</cp:revision>
  <dcterms:created xsi:type="dcterms:W3CDTF">2018-09-24T10:24:00Z</dcterms:created>
  <dcterms:modified xsi:type="dcterms:W3CDTF">2018-09-24T10:24:00Z</dcterms:modified>
</cp:coreProperties>
</file>