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7991" w14:textId="537D94AF" w:rsidR="00E23258" w:rsidRPr="00E23258" w:rsidRDefault="00E23258" w:rsidP="00C42204">
      <w:pPr>
        <w:spacing w:line="360" w:lineRule="auto"/>
        <w:ind w:right="1"/>
        <w:jc w:val="right"/>
        <w:rPr>
          <w:b/>
        </w:rPr>
      </w:pPr>
      <w:bookmarkStart w:id="0" w:name="_Toc461389626"/>
      <w:bookmarkStart w:id="1" w:name="_Toc472606456"/>
      <w:r w:rsidRPr="00E23258">
        <w:rPr>
          <w:b/>
        </w:rPr>
        <w:t xml:space="preserve">Załącznik nr </w:t>
      </w:r>
      <w:r w:rsidR="00F4050B">
        <w:rPr>
          <w:b/>
        </w:rPr>
        <w:t>3h</w:t>
      </w:r>
      <w:r w:rsidR="00F4050B" w:rsidRPr="00E23258">
        <w:rPr>
          <w:b/>
        </w:rPr>
        <w:t xml:space="preserve"> </w:t>
      </w:r>
      <w:r w:rsidRPr="00E23258">
        <w:rPr>
          <w:b/>
        </w:rPr>
        <w:t>do SIWZ</w:t>
      </w:r>
    </w:p>
    <w:p w14:paraId="1A1E98A7" w14:textId="77777777" w:rsidR="00E23258" w:rsidRPr="00E23258" w:rsidRDefault="00E23258" w:rsidP="00951317">
      <w:pPr>
        <w:rPr>
          <w:b/>
        </w:rPr>
      </w:pPr>
    </w:p>
    <w:bookmarkEnd w:id="0"/>
    <w:bookmarkEnd w:id="1"/>
    <w:p w14:paraId="22D30481" w14:textId="7A2E3426" w:rsidR="00951317" w:rsidRPr="00E23258" w:rsidRDefault="00B7671E" w:rsidP="00951317">
      <w:pPr>
        <w:rPr>
          <w:b/>
        </w:rPr>
      </w:pPr>
      <w:r>
        <w:rPr>
          <w:b/>
        </w:rPr>
        <w:t>Zakres usług do wykonania w ramach realizacji projektu</w:t>
      </w:r>
    </w:p>
    <w:p w14:paraId="1460876E" w14:textId="77777777" w:rsidR="00951317" w:rsidRPr="00E23258" w:rsidRDefault="00951317" w:rsidP="00951317">
      <w:pPr>
        <w:ind w:firstLine="360"/>
        <w:jc w:val="both"/>
        <w:rPr>
          <w:b/>
          <w:sz w:val="22"/>
          <w:szCs w:val="22"/>
        </w:rPr>
      </w:pPr>
    </w:p>
    <w:p w14:paraId="56385423" w14:textId="77777777" w:rsidR="001625AD" w:rsidRDefault="00B7671E" w:rsidP="00940610">
      <w:pPr>
        <w:spacing w:line="276" w:lineRule="auto"/>
        <w:jc w:val="both"/>
      </w:pPr>
      <w:r w:rsidRPr="00F32F91">
        <w:rPr>
          <w:sz w:val="22"/>
          <w:szCs w:val="22"/>
        </w:rPr>
        <w:t xml:space="preserve">Wykonawca podpisze z Zamawiającym umowę o zachowaniu poufności oraz umowę regulującą zdalny dostęp do zainstalowanych systemów </w:t>
      </w:r>
      <w:r w:rsidR="00D774AF" w:rsidRPr="00940610">
        <w:rPr>
          <w:sz w:val="22"/>
          <w:szCs w:val="22"/>
        </w:rPr>
        <w:t xml:space="preserve">w ramach projektu. </w:t>
      </w:r>
    </w:p>
    <w:p w14:paraId="4A00A000" w14:textId="77777777" w:rsidR="00C10C37" w:rsidRPr="00C10C37" w:rsidRDefault="00C10C37" w:rsidP="00C10C37">
      <w:pPr>
        <w:spacing w:line="276" w:lineRule="auto"/>
        <w:jc w:val="both"/>
        <w:rPr>
          <w:sz w:val="22"/>
          <w:szCs w:val="22"/>
        </w:rPr>
      </w:pPr>
      <w:r w:rsidRPr="00C10C37">
        <w:rPr>
          <w:sz w:val="22"/>
          <w:szCs w:val="22"/>
        </w:rPr>
        <w:t>Prze</w:t>
      </w:r>
      <w:r w:rsidR="00CE34C1">
        <w:rPr>
          <w:sz w:val="22"/>
          <w:szCs w:val="22"/>
        </w:rPr>
        <w:t>d</w:t>
      </w:r>
      <w:r w:rsidRPr="00C10C37">
        <w:rPr>
          <w:sz w:val="22"/>
          <w:szCs w:val="22"/>
        </w:rPr>
        <w:t xml:space="preserve"> przystąpieniem do prac Wykonawca opracuje i uzgodni z Zamawiającym oraz Inżynierem Kontraktu szczegółowy plan wdrożenia co najmniej w następującym zakresie:</w:t>
      </w:r>
    </w:p>
    <w:p w14:paraId="1506FF50" w14:textId="4ACE44AC" w:rsidR="00C002C5" w:rsidRDefault="00C002C5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wdrożenia</w:t>
      </w:r>
      <w:r w:rsidR="00CE34C1">
        <w:rPr>
          <w:rFonts w:ascii="Times New Roman" w:hAnsi="Times New Roman"/>
        </w:rPr>
        <w:t>;</w:t>
      </w:r>
    </w:p>
    <w:p w14:paraId="0B3FA3B4" w14:textId="7D403AD5" w:rsid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C10C37">
        <w:rPr>
          <w:rFonts w:ascii="Times New Roman" w:hAnsi="Times New Roman"/>
        </w:rPr>
        <w:t>Analizę przedwdrożeniową systemów</w:t>
      </w:r>
      <w:r w:rsidR="00333B3C">
        <w:rPr>
          <w:rFonts w:ascii="Times New Roman" w:hAnsi="Times New Roman"/>
        </w:rPr>
        <w:t xml:space="preserve"> informatycznych</w:t>
      </w:r>
      <w:r w:rsidRPr="00C10C37">
        <w:rPr>
          <w:rFonts w:ascii="Times New Roman" w:hAnsi="Times New Roman"/>
        </w:rPr>
        <w:t xml:space="preserve"> objętych wdrożeniem</w:t>
      </w:r>
      <w:r w:rsidR="00CE34C1">
        <w:rPr>
          <w:rFonts w:ascii="Times New Roman" w:hAnsi="Times New Roman"/>
        </w:rPr>
        <w:t>;</w:t>
      </w:r>
    </w:p>
    <w:p w14:paraId="2377F39A" w14:textId="241E054D" w:rsid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testów</w:t>
      </w:r>
      <w:r w:rsidR="00D447EB">
        <w:rPr>
          <w:rFonts w:ascii="Times New Roman" w:hAnsi="Times New Roman"/>
        </w:rPr>
        <w:t xml:space="preserve"> wdra</w:t>
      </w:r>
      <w:r w:rsidR="006D0D62">
        <w:rPr>
          <w:rFonts w:ascii="Times New Roman" w:hAnsi="Times New Roman"/>
        </w:rPr>
        <w:t>żanych systemów informatycznych</w:t>
      </w:r>
      <w:r w:rsidR="00CE34C1">
        <w:rPr>
          <w:rFonts w:ascii="Times New Roman" w:hAnsi="Times New Roman"/>
        </w:rPr>
        <w:t>;</w:t>
      </w:r>
    </w:p>
    <w:p w14:paraId="4BC93229" w14:textId="77777777" w:rsidR="00C10C37" w:rsidRP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szkoleń użytkowników.</w:t>
      </w:r>
    </w:p>
    <w:p w14:paraId="00963939" w14:textId="77777777" w:rsidR="00CE34C1" w:rsidRPr="00CE34C1" w:rsidRDefault="00CE34C1" w:rsidP="00CE34C1">
      <w:pPr>
        <w:rPr>
          <w:b/>
        </w:rPr>
      </w:pPr>
      <w:r w:rsidRPr="00CE34C1">
        <w:rPr>
          <w:b/>
        </w:rPr>
        <w:t xml:space="preserve">Analiza przedwdrożeniowa </w:t>
      </w:r>
    </w:p>
    <w:p w14:paraId="1E1DE985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Przed przystąpieniem do wdrożeń Wykonawca przeprowadzi analizę przedwdrożeniową. Sposób wykonania analizy i termin Wykonawca uzgodni z Zamawiającym. </w:t>
      </w:r>
      <w:r>
        <w:rPr>
          <w:rFonts w:ascii="Times New Roman" w:hAnsi="Times New Roman"/>
        </w:rPr>
        <w:t xml:space="preserve">Analiza przedwdrożeniowa dla poszczególnych etapu musi powstać i zostać potwierdzona przed rozpoczęciem prac dla danego etapu. Analiza przedwdrożeniowa jest elementem projektu i zgodnie z §16 pkt.2 opóźnienie w jej wykonaniu </w:t>
      </w:r>
      <w:r w:rsidR="00B7671E">
        <w:rPr>
          <w:rFonts w:ascii="Times New Roman" w:hAnsi="Times New Roman"/>
        </w:rPr>
        <w:t>podlegać będzie karom umownym.</w:t>
      </w:r>
    </w:p>
    <w:p w14:paraId="7C94546D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musi w procesie analizy przedwdrożeniowej, uzyskać od Zamawiającego wszystkie niezbędne informacje umożliwiające mu sprawne przeprowadzenie procesu wdrożenia i parametryzacji systemów. </w:t>
      </w:r>
    </w:p>
    <w:p w14:paraId="6177DF61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</w:t>
      </w:r>
      <w:r w:rsidR="00B7671E">
        <w:rPr>
          <w:rFonts w:ascii="Times New Roman" w:hAnsi="Times New Roman"/>
        </w:rPr>
        <w:t xml:space="preserve">do analizy przedwdrożeniowej </w:t>
      </w:r>
      <w:r w:rsidRPr="00CE34C1">
        <w:rPr>
          <w:rFonts w:ascii="Times New Roman" w:hAnsi="Times New Roman"/>
        </w:rPr>
        <w:t xml:space="preserve">oddeleguje odpowiedni zespół osób posiadający odpowiednie kwalifikacje i doświadczenie w prowadzeniu wdrożeń w JST i znający specyfikę działalności JST. </w:t>
      </w:r>
    </w:p>
    <w:p w14:paraId="4EC1858C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zorganizuje w siedzibie Zamawiającego spotkanie przedwdrożeniowe, którego celem będzie omówienie i ustalenie przebiegu wdrożenia z koordynatorami ze strony Zamawiającego. </w:t>
      </w:r>
    </w:p>
    <w:p w14:paraId="712D289E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Elementem analizy przedwdrożeniowej będzie przeprowadzenie ankiety przedwdrożeniowej, którą Wykonawca prześle drogą e - mailową w celu uzyskania odpowiedzi na pytania dotyczące wdrożenia systemu SEOD. </w:t>
      </w:r>
    </w:p>
    <w:p w14:paraId="6C7C30A7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Analiza przedwdrożeniowa musi obejmować analizę procesów, które zostaną następnie zaimplementowane w ramach integracji systemu SEOD z systemami dziedzinowymi funkcjonującymi w Urzędzie oraz z Portalu e-Urząd. </w:t>
      </w:r>
    </w:p>
    <w:p w14:paraId="73636F3A" w14:textId="77777777"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 wyniku analizy przedwdrożeniowej powstanie między innymi: </w:t>
      </w:r>
    </w:p>
    <w:p w14:paraId="48AEE7F3" w14:textId="77777777" w:rsidR="00CE34C1" w:rsidRPr="00CE34C1" w:rsidRDefault="00B7671E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Szczegółowy harmonogram wdrożenia dla poszczególnych etapów projektu;</w:t>
      </w:r>
    </w:p>
    <w:p w14:paraId="7905340F" w14:textId="77777777" w:rsidR="00CE34C1" w:rsidRPr="00CE34C1" w:rsidRDefault="00B7671E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współpracy;</w:t>
      </w:r>
      <w:r w:rsidR="00CE34C1" w:rsidRPr="00CE34C1">
        <w:rPr>
          <w:rFonts w:ascii="Times New Roman" w:hAnsi="Times New Roman"/>
        </w:rPr>
        <w:t xml:space="preserve"> </w:t>
      </w:r>
    </w:p>
    <w:p w14:paraId="57AB1B09" w14:textId="77777777" w:rsidR="00CE34C1" w:rsidRPr="00CE34C1" w:rsidRDefault="00CE34C1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>Warunki techniczne i organi</w:t>
      </w:r>
      <w:r w:rsidR="00B7671E">
        <w:rPr>
          <w:rFonts w:ascii="Times New Roman" w:hAnsi="Times New Roman"/>
        </w:rPr>
        <w:t>zacyjne rozpoczęcia wdrożeń;</w:t>
      </w:r>
    </w:p>
    <w:p w14:paraId="5A38FE36" w14:textId="77777777" w:rsidR="00CE34C1" w:rsidRPr="00CE34C1" w:rsidRDefault="00CE34C1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Lista zaleceń i czynności koniecznych do wykonania przez </w:t>
      </w:r>
      <w:r w:rsidR="00B7671E">
        <w:rPr>
          <w:rFonts w:ascii="Times New Roman" w:hAnsi="Times New Roman"/>
        </w:rPr>
        <w:t xml:space="preserve">strony </w:t>
      </w:r>
      <w:r w:rsidR="00B7671E" w:rsidRPr="00CE34C1">
        <w:rPr>
          <w:rFonts w:ascii="Times New Roman" w:hAnsi="Times New Roman"/>
        </w:rPr>
        <w:t xml:space="preserve">przed </w:t>
      </w:r>
      <w:r w:rsidRPr="00CE34C1">
        <w:rPr>
          <w:rFonts w:ascii="Times New Roman" w:hAnsi="Times New Roman"/>
        </w:rPr>
        <w:t xml:space="preserve">wdrożeniem. </w:t>
      </w:r>
    </w:p>
    <w:p w14:paraId="577D4491" w14:textId="77777777" w:rsidR="001625AD" w:rsidRDefault="00D774AF" w:rsidP="00940610">
      <w:r w:rsidRPr="00940610">
        <w:rPr>
          <w:b/>
        </w:rPr>
        <w:t xml:space="preserve">Wdrożenie systemów </w:t>
      </w:r>
    </w:p>
    <w:p w14:paraId="7BBC5E8A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Wykonawca oddeleguje do realizacji wdrożeń zespół oraz wyznaczy osobę odpowiedzialną za przebieg wdrożenia – Kierownika Projektu Wykonawcy. </w:t>
      </w:r>
    </w:p>
    <w:p w14:paraId="0483DB9B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Planowanie i monitorowanie wdrożeń będzie realizowane z użyciem harmonogramu wdrożenia. </w:t>
      </w:r>
    </w:p>
    <w:p w14:paraId="518C8C5E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Zamawiający może wnioskować o wprowadzenie zmian w harmonogramie. </w:t>
      </w:r>
    </w:p>
    <w:p w14:paraId="17F1E1CB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Wykonawca i Zamawiający będą wspólnie dążyć do terminowej realizacji przedmiotu zamówienia. </w:t>
      </w:r>
    </w:p>
    <w:p w14:paraId="356FF4F3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Konfiguracja systemu odbędzie się zgodnie z metodyką przyjętą przez </w:t>
      </w:r>
      <w:r w:rsidR="00B7671E">
        <w:rPr>
          <w:rFonts w:ascii="Times New Roman" w:hAnsi="Times New Roman"/>
        </w:rPr>
        <w:t xml:space="preserve">Zamawiającego </w:t>
      </w:r>
      <w:r w:rsidRPr="00940610">
        <w:rPr>
          <w:rFonts w:ascii="Times New Roman" w:hAnsi="Times New Roman"/>
        </w:rPr>
        <w:t xml:space="preserve">i </w:t>
      </w:r>
      <w:r w:rsidR="00B7671E">
        <w:rPr>
          <w:rFonts w:ascii="Times New Roman" w:hAnsi="Times New Roman"/>
        </w:rPr>
        <w:t>uzgodnioną</w:t>
      </w:r>
      <w:r w:rsidRPr="00940610">
        <w:rPr>
          <w:rFonts w:ascii="Times New Roman" w:hAnsi="Times New Roman"/>
        </w:rPr>
        <w:t xml:space="preserve"> z </w:t>
      </w:r>
      <w:r w:rsidR="00B7671E">
        <w:rPr>
          <w:rFonts w:ascii="Times New Roman" w:hAnsi="Times New Roman"/>
        </w:rPr>
        <w:t>Wykonawcą</w:t>
      </w:r>
      <w:r w:rsidRPr="00940610">
        <w:rPr>
          <w:rFonts w:ascii="Times New Roman" w:hAnsi="Times New Roman"/>
        </w:rPr>
        <w:t xml:space="preserve">. </w:t>
      </w:r>
    </w:p>
    <w:p w14:paraId="2314DDB4" w14:textId="77777777"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lastRenderedPageBreak/>
        <w:t xml:space="preserve">Wykonawca musi przeprowadzić wszelkie czynności prowadzące do uruchomienia w pełni skonfigurowanego systemu, przygotowanego do jego użytkowania. </w:t>
      </w:r>
    </w:p>
    <w:p w14:paraId="728A0A8B" w14:textId="77777777" w:rsidR="001625AD" w:rsidRPr="00940610" w:rsidRDefault="00D774AF" w:rsidP="00940610">
      <w:pPr>
        <w:rPr>
          <w:b/>
        </w:rPr>
      </w:pPr>
      <w:r w:rsidRPr="00940610">
        <w:rPr>
          <w:b/>
        </w:rPr>
        <w:t>Wdrożenie zintegrowanego systemu dziedzinowego</w:t>
      </w:r>
    </w:p>
    <w:p w14:paraId="34C373A1" w14:textId="77777777"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 xml:space="preserve">W ramach usługi nastąpi instalacja, konfiguracja, przeniesienie danych, testowanie i uruchomienie zintegrowanego systemu dziedzinowego. </w:t>
      </w:r>
    </w:p>
    <w:p w14:paraId="4937A827" w14:textId="77777777"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 xml:space="preserve">Przeniesienie danych: </w:t>
      </w:r>
    </w:p>
    <w:p w14:paraId="773AB0A3" w14:textId="77777777"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>Przeniesienie danych z obecnie funkcjonujących systemów w zakre</w:t>
      </w:r>
      <w:r w:rsidR="00B7671E" w:rsidRPr="00B7671E">
        <w:rPr>
          <w:sz w:val="22"/>
        </w:rPr>
        <w:t>sie danych wymiarowych systemów</w:t>
      </w:r>
      <w:r w:rsidR="00B7671E">
        <w:rPr>
          <w:sz w:val="22"/>
        </w:rPr>
        <w:t xml:space="preserve"> </w:t>
      </w:r>
      <w:r w:rsidRPr="00940610">
        <w:rPr>
          <w:sz w:val="22"/>
        </w:rPr>
        <w:t>podatkowych obejmie: właścicieli nieruchomości, przedmioty opodatkowania, adresy nieruchomości,</w:t>
      </w:r>
      <w:r w:rsidR="00B7671E">
        <w:rPr>
          <w:sz w:val="22"/>
        </w:rPr>
        <w:br/>
      </w:r>
      <w:r w:rsidRPr="00940610">
        <w:rPr>
          <w:sz w:val="22"/>
        </w:rPr>
        <w:t>nr ewidencyjne, powierzchnie, klasy gruntów, pole uwagi. W zakresie danych księgowych systemów podatkowych saldo BO na koniec roku w tym zaległości i nadpłat wg terminów. Przeniesienie informacji i wystawionych upomnieniach i tytułach wykonawczych (znacznik U oraz T) W zakresie systemów finansowo - budżetowych zakres obejmuje: bilans otwarcia na przełomie roku, rozrachunki, kontrahentów.</w:t>
      </w:r>
    </w:p>
    <w:p w14:paraId="21976091" w14:textId="77777777" w:rsidR="001625AD" w:rsidRDefault="001625AD" w:rsidP="00940610">
      <w:pPr>
        <w:jc w:val="both"/>
      </w:pPr>
    </w:p>
    <w:p w14:paraId="47605E30" w14:textId="77777777" w:rsidR="001625AD" w:rsidRDefault="00D774AF" w:rsidP="00940610">
      <w:r w:rsidRPr="00940610">
        <w:rPr>
          <w:b/>
        </w:rPr>
        <w:t xml:space="preserve">Odbiór systemów </w:t>
      </w:r>
    </w:p>
    <w:p w14:paraId="570A242A" w14:textId="77777777"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Odbiór systemów będzie obejmował sprawdzenie przez Zamawiającego zainstalowanych systemów pod względem ich zgodności z wymaganiami SIWZ oraz jego poprawności działania, w tym ich poprawności działania w zakresie wykonanych procesów integracyjnych. </w:t>
      </w:r>
    </w:p>
    <w:p w14:paraId="3B1A3919" w14:textId="77777777"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Swoim zakresem obejmie także sprawdzenie przez Zamawiającego poprawności wprowadzonych danych konfiguracyjnych oraz sprawdzenie przez Zamawiającego poprawności wprowadzenia danych inicjalnych. </w:t>
      </w:r>
    </w:p>
    <w:p w14:paraId="780D45C0" w14:textId="77777777"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Odbiór systemów odbędzie się na podstawie podpisanego protokołu odbioru w zakresie czynności wykonanych na rzecz Zmawiającego. </w:t>
      </w:r>
    </w:p>
    <w:p w14:paraId="3039D681" w14:textId="77777777"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Protokoły odbioru podpisywane są przez osoby upoważnione przez kierownika danej jednostki. </w:t>
      </w:r>
    </w:p>
    <w:p w14:paraId="35E6E12A" w14:textId="77777777" w:rsidR="001625AD" w:rsidRPr="00940610" w:rsidRDefault="00B7671E" w:rsidP="00940610">
      <w:pPr>
        <w:pStyle w:val="Rpogrubieni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powykonawcza</w:t>
      </w:r>
    </w:p>
    <w:p w14:paraId="59103BF7" w14:textId="77777777" w:rsidR="00390307" w:rsidRPr="00C002C5" w:rsidRDefault="00C10C37" w:rsidP="00030B5F">
      <w:pPr>
        <w:spacing w:before="120" w:after="120" w:line="300" w:lineRule="atLeast"/>
        <w:jc w:val="both"/>
        <w:rPr>
          <w:sz w:val="22"/>
          <w:szCs w:val="22"/>
        </w:rPr>
      </w:pPr>
      <w:r>
        <w:rPr>
          <w:sz w:val="22"/>
        </w:rPr>
        <w:t xml:space="preserve">Po zakończeniu wdrożenia Wykonawca opracuje </w:t>
      </w:r>
      <w:r w:rsidR="00262FDC" w:rsidRPr="00030B5F">
        <w:rPr>
          <w:sz w:val="22"/>
        </w:rPr>
        <w:t xml:space="preserve">i uzgodni z Zamawiającym oraz Inżynierem Kontraktu </w:t>
      </w:r>
      <w:r w:rsidR="00262FDC" w:rsidRPr="00C002C5">
        <w:rPr>
          <w:sz w:val="22"/>
          <w:szCs w:val="22"/>
        </w:rPr>
        <w:t xml:space="preserve">dokumentację powdrożeniową </w:t>
      </w:r>
      <w:r w:rsidR="00390307" w:rsidRPr="00C002C5">
        <w:rPr>
          <w:sz w:val="22"/>
          <w:szCs w:val="22"/>
        </w:rPr>
        <w:t>obejmującą co najmniej:</w:t>
      </w:r>
    </w:p>
    <w:p w14:paraId="5ED94AC5" w14:textId="77777777" w:rsidR="00C002C5" w:rsidRPr="00C002C5" w:rsidRDefault="00C002C5" w:rsidP="007326B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C002C5">
        <w:rPr>
          <w:rFonts w:ascii="Times New Roman" w:hAnsi="Times New Roman"/>
        </w:rPr>
        <w:t>Dokumentacją powdrożeniową dostarczonej infrastruktury technicznej zawier</w:t>
      </w:r>
      <w:r>
        <w:rPr>
          <w:rFonts w:ascii="Times New Roman" w:hAnsi="Times New Roman"/>
        </w:rPr>
        <w:t>ającej szczegółową konfigurację, adresację, nazewnictwo eleme</w:t>
      </w:r>
      <w:r w:rsidR="00A569EB">
        <w:rPr>
          <w:rFonts w:ascii="Times New Roman" w:hAnsi="Times New Roman"/>
        </w:rPr>
        <w:t>ntów infrastruktury, powiązania</w:t>
      </w:r>
      <w:r w:rsidR="00A569EB">
        <w:rPr>
          <w:rFonts w:ascii="Times New Roman" w:hAnsi="Times New Roman"/>
        </w:rPr>
        <w:br/>
      </w:r>
      <w:r>
        <w:rPr>
          <w:rFonts w:ascii="Times New Roman" w:hAnsi="Times New Roman"/>
        </w:rPr>
        <w:t>z istniejącą przed wdrożeniem infrastrukturą techniczną.</w:t>
      </w:r>
    </w:p>
    <w:p w14:paraId="511651D0" w14:textId="77777777" w:rsidR="00C002C5" w:rsidRPr="00C002C5" w:rsidRDefault="00C002C5" w:rsidP="0086492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C002C5">
        <w:rPr>
          <w:rFonts w:ascii="Times New Roman" w:hAnsi="Times New Roman"/>
        </w:rPr>
        <w:t>Dokumentacją powdrożeniową dostarczonych systemów informatycznych dla użytkownika, instruktora oraz administratora systemów.</w:t>
      </w:r>
    </w:p>
    <w:p w14:paraId="604D8821" w14:textId="77777777" w:rsidR="00951317" w:rsidRDefault="00C002C5" w:rsidP="00C002C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Instrukcję eksploatacji w zakresie wszystkich dostarczonych elementów infrastruktury technicznej.</w:t>
      </w:r>
    </w:p>
    <w:p w14:paraId="196C4597" w14:textId="77777777" w:rsidR="00C002C5" w:rsidRPr="00C002C5" w:rsidRDefault="00C002C5" w:rsidP="00C002C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Instrukcję eksploatacji w zakresie wszystkich dostarczonych systemów informatycznych.</w:t>
      </w:r>
    </w:p>
    <w:p w14:paraId="69B65F09" w14:textId="77777777" w:rsidR="00951317" w:rsidRPr="00E23258" w:rsidRDefault="00951317" w:rsidP="00951317">
      <w:pPr>
        <w:pStyle w:val="Rpogrubienie"/>
        <w:rPr>
          <w:rFonts w:ascii="Times New Roman" w:hAnsi="Times New Roman" w:cs="Times New Roman"/>
        </w:rPr>
      </w:pPr>
      <w:r w:rsidRPr="00E23258">
        <w:rPr>
          <w:rFonts w:ascii="Times New Roman" w:hAnsi="Times New Roman" w:cs="Times New Roman"/>
        </w:rPr>
        <w:t>S</w:t>
      </w:r>
      <w:r w:rsidR="009B25F6">
        <w:rPr>
          <w:rFonts w:ascii="Times New Roman" w:hAnsi="Times New Roman" w:cs="Times New Roman"/>
        </w:rPr>
        <w:t>zkolenia użytkowników</w:t>
      </w:r>
    </w:p>
    <w:p w14:paraId="1468CA6B" w14:textId="77777777"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B7671E">
        <w:rPr>
          <w:rFonts w:ascii="Times New Roman" w:hAnsi="Times New Roman"/>
        </w:rPr>
        <w:t xml:space="preserve">Do </w:t>
      </w:r>
      <w:r w:rsidRPr="00E23258">
        <w:rPr>
          <w:rFonts w:ascii="Times New Roman" w:hAnsi="Times New Roman"/>
        </w:rPr>
        <w:t xml:space="preserve">każdego modułu wspomagającego obsługę obszarów działalności urzędu, Zamawiający wskaże osoby, które zostaną przeszkolone. </w:t>
      </w:r>
    </w:p>
    <w:p w14:paraId="132A1ECD" w14:textId="77777777"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Zamawiający wymaga przeprowadzenia maksymalnie 50 roboczodni szkoleń, przy czym wszystkie osoby wskazane do szkoleń przez Zamawia</w:t>
      </w:r>
      <w:r w:rsidR="00A569EB">
        <w:rPr>
          <w:rFonts w:ascii="Times New Roman" w:hAnsi="Times New Roman"/>
        </w:rPr>
        <w:t>jącego mają zostać przeszkolone</w:t>
      </w:r>
      <w:r w:rsidR="00A569EB">
        <w:rPr>
          <w:rFonts w:ascii="Times New Roman" w:hAnsi="Times New Roman"/>
        </w:rPr>
        <w:br/>
      </w:r>
      <w:r w:rsidRPr="00E23258">
        <w:rPr>
          <w:rFonts w:ascii="Times New Roman" w:hAnsi="Times New Roman"/>
        </w:rPr>
        <w:t>w stopniu umożliwiającym im samodzielną pracę z systemem.</w:t>
      </w:r>
    </w:p>
    <w:p w14:paraId="51EC4D3A" w14:textId="77777777"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Szkolenia będą realizowane w pomieszczeniach i na sprzęcie udostępnionym przez urząd.</w:t>
      </w:r>
    </w:p>
    <w:p w14:paraId="715B9118" w14:textId="77777777" w:rsidR="00951317" w:rsidRPr="00B7671E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Nie przewiduje</w:t>
      </w:r>
      <w:r w:rsidRPr="00B7671E">
        <w:rPr>
          <w:rFonts w:ascii="Times New Roman" w:hAnsi="Times New Roman"/>
        </w:rPr>
        <w:t xml:space="preserve"> się przeprowadzania szkoleń typu e-learning w zastępstwie szkoleń tradycyjnych.</w:t>
      </w:r>
    </w:p>
    <w:p w14:paraId="60DA3C8E" w14:textId="77777777" w:rsidR="00951317" w:rsidRPr="00B7671E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B7671E">
        <w:rPr>
          <w:rFonts w:ascii="Times New Roman" w:hAnsi="Times New Roman"/>
        </w:rPr>
        <w:t>Dopuszcza się po uzgodnieniu z Zamawiającym przeprowadzenie szkoleń grupowych w wybranych obszarach tematycznych.</w:t>
      </w:r>
    </w:p>
    <w:p w14:paraId="2F51F0B9" w14:textId="77777777" w:rsidR="00951317" w:rsidRPr="00C002C5" w:rsidRDefault="00951317" w:rsidP="00C002C5">
      <w:pPr>
        <w:spacing w:before="120" w:after="120" w:line="300" w:lineRule="atLeast"/>
        <w:jc w:val="both"/>
        <w:rPr>
          <w:sz w:val="22"/>
        </w:rPr>
      </w:pPr>
      <w:r w:rsidRPr="00C002C5">
        <w:rPr>
          <w:sz w:val="22"/>
        </w:rPr>
        <w:lastRenderedPageBreak/>
        <w:t>W ramach usługi zostaną zrealizowane szkolenia administratorów (1 administrator) i użytkowników (łącznie 20 użytkowników):</w:t>
      </w:r>
    </w:p>
    <w:p w14:paraId="758CBA94" w14:textId="77777777" w:rsidR="00951317" w:rsidRPr="00E23258" w:rsidRDefault="00951317" w:rsidP="00C002C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zakres szkoleń dla administratorów:</w:t>
      </w:r>
    </w:p>
    <w:p w14:paraId="32DEA3A5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koncepcja i działanie wdrażanego systemu,</w:t>
      </w:r>
    </w:p>
    <w:p w14:paraId="2238CFBA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szczegółowa architektura rozwiązania, </w:t>
      </w:r>
    </w:p>
    <w:p w14:paraId="7885E3CA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integracja z innymi systemami, </w:t>
      </w:r>
    </w:p>
    <w:p w14:paraId="4380B8B0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sposób instalacji systemu,</w:t>
      </w:r>
    </w:p>
    <w:p w14:paraId="3C3A1EF7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sposób instalacji nowych wersji systemu oraz poprawek do systemu, </w:t>
      </w:r>
    </w:p>
    <w:p w14:paraId="1CC2BA35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monitorowanie poszczególnych warstw architektury: aplikacje, bazy danych, systemy operacyjne,</w:t>
      </w:r>
    </w:p>
    <w:p w14:paraId="756E39E0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budowa widoków,</w:t>
      </w:r>
    </w:p>
    <w:p w14:paraId="20AF302D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analiza historyczna zebranych danych, </w:t>
      </w:r>
    </w:p>
    <w:p w14:paraId="7BD7F41A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tworzenie raportów i analiz,</w:t>
      </w:r>
    </w:p>
    <w:p w14:paraId="26BC8DC5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interfejs graficzny poszczególnych modułów systemu,</w:t>
      </w:r>
    </w:p>
    <w:p w14:paraId="2A979004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możliwości rozszerzenia i rozwoju,</w:t>
      </w:r>
    </w:p>
    <w:p w14:paraId="137CADF1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obsługa serwisowa systemu.</w:t>
      </w:r>
    </w:p>
    <w:p w14:paraId="3129AAC7" w14:textId="77777777" w:rsidR="00951317" w:rsidRPr="00E23258" w:rsidRDefault="00951317" w:rsidP="00C002C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zakres szkoleń dla użytkowników:</w:t>
      </w:r>
    </w:p>
    <w:p w14:paraId="26895EEC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interfejs graficzny systemu,</w:t>
      </w:r>
    </w:p>
    <w:p w14:paraId="7F0B5A46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szczegółowe funkcjonalności wybranych modułów systemu,</w:t>
      </w:r>
    </w:p>
    <w:p w14:paraId="719327C3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szczegółowy instruktaż stanowiskowy,</w:t>
      </w:r>
    </w:p>
    <w:p w14:paraId="35695941" w14:textId="77777777"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tworzenie raportów i analiz,</w:t>
      </w:r>
    </w:p>
    <w:p w14:paraId="2591DE5E" w14:textId="77777777" w:rsidR="00C002C5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zgłaszanie błędów i usterek w działaniu systemu.</w:t>
      </w:r>
    </w:p>
    <w:p w14:paraId="680C8820" w14:textId="77777777" w:rsidR="00951317" w:rsidRPr="00C002C5" w:rsidRDefault="00B469CD" w:rsidP="00C002C5">
      <w:pPr>
        <w:spacing w:before="120" w:after="120" w:line="300" w:lineRule="atLeast"/>
        <w:jc w:val="both"/>
        <w:rPr>
          <w:sz w:val="22"/>
        </w:rPr>
      </w:pPr>
      <w:r>
        <w:rPr>
          <w:sz w:val="22"/>
        </w:rPr>
        <w:t>S</w:t>
      </w:r>
      <w:r w:rsidR="00951317" w:rsidRPr="00C002C5">
        <w:rPr>
          <w:sz w:val="22"/>
        </w:rPr>
        <w:t>zkolenia zostaną przeprowadzone w pomieszczeniach udostępnionych przez Zamawiającego.</w:t>
      </w:r>
    </w:p>
    <w:p w14:paraId="43CF1482" w14:textId="77777777" w:rsidR="00B7671E" w:rsidRPr="00AC16DC" w:rsidRDefault="00B7671E" w:rsidP="00B7671E">
      <w:pPr>
        <w:pStyle w:val="Nagwek1"/>
        <w:rPr>
          <w:rFonts w:ascii="Times New Roman" w:hAnsi="Times New Roman"/>
          <w:sz w:val="22"/>
          <w:szCs w:val="22"/>
        </w:rPr>
      </w:pPr>
      <w:bookmarkStart w:id="2" w:name="_Toc494810384"/>
      <w:r>
        <w:rPr>
          <w:rFonts w:ascii="Times New Roman" w:hAnsi="Times New Roman"/>
          <w:sz w:val="22"/>
          <w:szCs w:val="22"/>
        </w:rPr>
        <w:t>Gwarancja jakości</w:t>
      </w:r>
      <w:r w:rsidRPr="00AC16DC">
        <w:rPr>
          <w:rFonts w:ascii="Times New Roman" w:hAnsi="Times New Roman"/>
          <w:sz w:val="22"/>
          <w:szCs w:val="22"/>
        </w:rPr>
        <w:t xml:space="preserve"> i aktualizacja systemów</w:t>
      </w:r>
    </w:p>
    <w:bookmarkEnd w:id="2"/>
    <w:p w14:paraId="4CFADC08" w14:textId="77777777" w:rsidR="00951317" w:rsidRPr="00E23258" w:rsidRDefault="00951317" w:rsidP="00951317">
      <w:pPr>
        <w:ind w:firstLine="360"/>
        <w:jc w:val="both"/>
        <w:rPr>
          <w:b/>
          <w:sz w:val="22"/>
          <w:szCs w:val="22"/>
        </w:rPr>
      </w:pPr>
    </w:p>
    <w:p w14:paraId="4ED7EA0F" w14:textId="53067B90" w:rsidR="00951317" w:rsidRPr="009B25F6" w:rsidRDefault="00B7671E" w:rsidP="00951317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lang w:eastAsia="zh-CN"/>
        </w:rPr>
      </w:pPr>
      <w:r>
        <w:rPr>
          <w:rFonts w:eastAsia="Calibri"/>
          <w:sz w:val="22"/>
          <w:lang w:eastAsia="zh-CN"/>
        </w:rPr>
        <w:t xml:space="preserve">Celem jest </w:t>
      </w:r>
      <w:r w:rsidR="00951317" w:rsidRPr="009B25F6">
        <w:rPr>
          <w:rFonts w:eastAsia="Calibri"/>
          <w:sz w:val="22"/>
          <w:lang w:eastAsia="zh-CN"/>
        </w:rPr>
        <w:t>ułatwi</w:t>
      </w:r>
      <w:r>
        <w:rPr>
          <w:rFonts w:eastAsia="Calibri"/>
          <w:sz w:val="22"/>
          <w:lang w:eastAsia="zh-CN"/>
        </w:rPr>
        <w:t>enie</w:t>
      </w:r>
      <w:r w:rsidR="00951317" w:rsidRPr="009B25F6">
        <w:rPr>
          <w:rFonts w:eastAsia="Calibri"/>
          <w:sz w:val="22"/>
          <w:lang w:eastAsia="zh-CN"/>
        </w:rPr>
        <w:t xml:space="preserve"> prac</w:t>
      </w:r>
      <w:r>
        <w:rPr>
          <w:rFonts w:eastAsia="Calibri"/>
          <w:sz w:val="22"/>
          <w:lang w:eastAsia="zh-CN"/>
        </w:rPr>
        <w:t>y</w:t>
      </w:r>
      <w:r w:rsidR="00951317" w:rsidRPr="009B25F6">
        <w:rPr>
          <w:rFonts w:eastAsia="Calibri"/>
          <w:sz w:val="22"/>
          <w:lang w:eastAsia="zh-CN"/>
        </w:rPr>
        <w:t xml:space="preserve"> użytkownikom systemu </w:t>
      </w:r>
      <w:r>
        <w:rPr>
          <w:rFonts w:eastAsia="Calibri"/>
          <w:sz w:val="22"/>
          <w:lang w:eastAsia="zh-CN"/>
        </w:rPr>
        <w:t xml:space="preserve">oraz </w:t>
      </w:r>
      <w:r w:rsidR="00951317" w:rsidRPr="009B25F6">
        <w:rPr>
          <w:rFonts w:eastAsia="Calibri"/>
          <w:sz w:val="22"/>
          <w:lang w:eastAsia="zh-CN"/>
        </w:rPr>
        <w:t>zapewni</w:t>
      </w:r>
      <w:r>
        <w:rPr>
          <w:rFonts w:eastAsia="Calibri"/>
          <w:sz w:val="22"/>
          <w:lang w:eastAsia="zh-CN"/>
        </w:rPr>
        <w:t>enie</w:t>
      </w:r>
      <w:r w:rsidR="00951317" w:rsidRPr="009B25F6">
        <w:rPr>
          <w:rFonts w:eastAsia="Calibri"/>
          <w:sz w:val="22"/>
          <w:lang w:eastAsia="zh-CN"/>
        </w:rPr>
        <w:t xml:space="preserve"> prawidłowe</w:t>
      </w:r>
      <w:r>
        <w:rPr>
          <w:rFonts w:eastAsia="Calibri"/>
          <w:sz w:val="22"/>
          <w:lang w:eastAsia="zh-CN"/>
        </w:rPr>
        <w:t>go</w:t>
      </w:r>
      <w:r w:rsidR="00951317" w:rsidRPr="009B25F6">
        <w:rPr>
          <w:rFonts w:eastAsia="Calibri"/>
          <w:sz w:val="22"/>
          <w:lang w:eastAsia="zh-CN"/>
        </w:rPr>
        <w:t xml:space="preserve"> </w:t>
      </w:r>
      <w:r w:rsidR="002C0E74" w:rsidRPr="009B25F6">
        <w:rPr>
          <w:rFonts w:eastAsia="Calibri"/>
          <w:sz w:val="22"/>
          <w:lang w:eastAsia="zh-CN"/>
        </w:rPr>
        <w:t>działani</w:t>
      </w:r>
      <w:r w:rsidR="002C0E74">
        <w:rPr>
          <w:rFonts w:eastAsia="Calibri"/>
          <w:sz w:val="22"/>
          <w:lang w:eastAsia="zh-CN"/>
        </w:rPr>
        <w:t>a</w:t>
      </w:r>
      <w:r w:rsidR="002C0E74" w:rsidRPr="009B25F6">
        <w:rPr>
          <w:rFonts w:eastAsia="Calibri"/>
          <w:sz w:val="22"/>
          <w:lang w:eastAsia="zh-CN"/>
        </w:rPr>
        <w:t xml:space="preserve"> </w:t>
      </w:r>
      <w:r w:rsidR="00951317" w:rsidRPr="009B25F6">
        <w:rPr>
          <w:rFonts w:eastAsia="Calibri"/>
          <w:sz w:val="22"/>
          <w:lang w:eastAsia="zh-CN"/>
        </w:rPr>
        <w:t xml:space="preserve">systemu </w:t>
      </w:r>
      <w:r w:rsidR="002C0E74">
        <w:rPr>
          <w:rFonts w:eastAsia="Calibri"/>
          <w:sz w:val="22"/>
          <w:lang w:eastAsia="zh-CN"/>
        </w:rPr>
        <w:t xml:space="preserve">w okresie eksploatacji </w:t>
      </w:r>
      <w:r w:rsidR="00951317" w:rsidRPr="009B25F6">
        <w:rPr>
          <w:rFonts w:eastAsia="Calibri"/>
          <w:sz w:val="22"/>
          <w:lang w:eastAsia="zh-CN"/>
        </w:rPr>
        <w:t xml:space="preserve">pod względem funkcjonalnym </w:t>
      </w:r>
      <w:r w:rsidR="002C0E74">
        <w:rPr>
          <w:rFonts w:eastAsia="Calibri"/>
          <w:sz w:val="22"/>
          <w:lang w:eastAsia="zh-CN"/>
        </w:rPr>
        <w:t xml:space="preserve">oraz </w:t>
      </w:r>
      <w:r w:rsidR="00951317" w:rsidRPr="009B25F6">
        <w:rPr>
          <w:rFonts w:eastAsia="Calibri"/>
          <w:sz w:val="22"/>
          <w:lang w:eastAsia="zh-CN"/>
        </w:rPr>
        <w:t xml:space="preserve">jakościowym. </w:t>
      </w:r>
      <w:r>
        <w:rPr>
          <w:rFonts w:eastAsia="Calibri"/>
          <w:sz w:val="22"/>
          <w:lang w:eastAsia="zh-CN"/>
        </w:rPr>
        <w:t>O</w:t>
      </w:r>
      <w:r w:rsidR="00951317" w:rsidRPr="009B25F6">
        <w:rPr>
          <w:rFonts w:eastAsia="Calibri"/>
          <w:sz w:val="22"/>
          <w:lang w:eastAsia="zh-CN"/>
        </w:rPr>
        <w:t xml:space="preserve">bejmować </w:t>
      </w:r>
      <w:r w:rsidRPr="009B25F6">
        <w:rPr>
          <w:rFonts w:eastAsia="Calibri"/>
          <w:sz w:val="22"/>
          <w:lang w:eastAsia="zh-CN"/>
        </w:rPr>
        <w:t>będ</w:t>
      </w:r>
      <w:r>
        <w:rPr>
          <w:rFonts w:eastAsia="Calibri"/>
          <w:sz w:val="22"/>
          <w:lang w:eastAsia="zh-CN"/>
        </w:rPr>
        <w:t>zie</w:t>
      </w:r>
      <w:r w:rsidR="002C0E74">
        <w:rPr>
          <w:rFonts w:eastAsia="Calibri"/>
          <w:sz w:val="22"/>
          <w:lang w:eastAsia="zh-CN"/>
        </w:rPr>
        <w:t xml:space="preserve"> w okresie trwałości projektu:</w:t>
      </w:r>
    </w:p>
    <w:p w14:paraId="4C3B2268" w14:textId="52C53C35" w:rsidR="002C0E74" w:rsidRPr="00AC16DC" w:rsidRDefault="002C0E74" w:rsidP="00D61B0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z</w:t>
      </w:r>
      <w:r w:rsidRPr="00AC16DC">
        <w:rPr>
          <w:rFonts w:ascii="Times New Roman" w:hAnsi="Times New Roman"/>
          <w:lang w:eastAsia="ar-SA"/>
        </w:rPr>
        <w:t>apewnienie, żeby System</w:t>
      </w:r>
      <w:r>
        <w:rPr>
          <w:rFonts w:ascii="Times New Roman" w:hAnsi="Times New Roman"/>
          <w:lang w:eastAsia="ar-SA"/>
        </w:rPr>
        <w:t>y</w:t>
      </w:r>
      <w:r w:rsidRPr="00AC16DC">
        <w:rPr>
          <w:rFonts w:ascii="Times New Roman" w:hAnsi="Times New Roman"/>
          <w:lang w:eastAsia="ar-SA"/>
        </w:rPr>
        <w:t xml:space="preserve"> był</w:t>
      </w:r>
      <w:r w:rsidR="009C0D4D">
        <w:rPr>
          <w:rFonts w:ascii="Times New Roman" w:hAnsi="Times New Roman"/>
          <w:lang w:eastAsia="ar-SA"/>
        </w:rPr>
        <w:t>y</w:t>
      </w:r>
      <w:r w:rsidRPr="00AC16DC">
        <w:rPr>
          <w:rFonts w:ascii="Times New Roman" w:hAnsi="Times New Roman"/>
          <w:lang w:eastAsia="ar-SA"/>
        </w:rPr>
        <w:t xml:space="preserve"> </w:t>
      </w:r>
      <w:r w:rsidR="009C0D4D">
        <w:rPr>
          <w:rFonts w:ascii="Times New Roman" w:hAnsi="Times New Roman"/>
          <w:lang w:eastAsia="ar-SA"/>
        </w:rPr>
        <w:t xml:space="preserve">dostępne </w:t>
      </w:r>
      <w:bookmarkStart w:id="3" w:name="_GoBack"/>
      <w:bookmarkEnd w:id="3"/>
      <w:r w:rsidRPr="00AC16DC">
        <w:rPr>
          <w:rFonts w:ascii="Times New Roman" w:hAnsi="Times New Roman"/>
          <w:lang w:eastAsia="ar-SA"/>
        </w:rPr>
        <w:t>w zakresie wymaganej jakośc</w:t>
      </w:r>
      <w:r>
        <w:rPr>
          <w:rFonts w:ascii="Times New Roman" w:hAnsi="Times New Roman"/>
          <w:lang w:eastAsia="ar-SA"/>
        </w:rPr>
        <w:t>i</w:t>
      </w:r>
      <w:r w:rsidR="005744E7">
        <w:rPr>
          <w:rFonts w:ascii="Times New Roman" w:hAnsi="Times New Roman"/>
          <w:lang w:eastAsia="ar-SA"/>
        </w:rPr>
        <w:t>. Kryterium jakości oznacza spełnienie warunków, o których mowa w pkt. b-j poniżej w całym okresie obowiązywania gwarancji oraz spełnienie wymogu jakości ergonomicznej interfejsu użytkownika. Spełnienie wymogu jakości ergonomicznej interfejsu użytkownika oznacza</w:t>
      </w:r>
      <w:r w:rsidR="00D61B07">
        <w:rPr>
          <w:rFonts w:ascii="Times New Roman" w:hAnsi="Times New Roman"/>
          <w:lang w:eastAsia="ar-SA"/>
        </w:rPr>
        <w:t>, że  d</w:t>
      </w:r>
      <w:r w:rsidR="00D61B07" w:rsidRPr="00D61B07">
        <w:rPr>
          <w:rFonts w:ascii="Times New Roman" w:hAnsi="Times New Roman"/>
          <w:lang w:eastAsia="ar-SA"/>
        </w:rPr>
        <w:t>o przeprowadzenia operacji w systemie zakończonej oczekiwanym efektem końcowym (</w:t>
      </w:r>
      <w:r w:rsidR="00D61B07">
        <w:rPr>
          <w:rFonts w:ascii="Times New Roman" w:hAnsi="Times New Roman"/>
          <w:lang w:eastAsia="ar-SA"/>
        </w:rPr>
        <w:t>skorzystania z funkcjonalności</w:t>
      </w:r>
      <w:r w:rsidR="00D61B07" w:rsidRPr="00D61B07">
        <w:rPr>
          <w:rFonts w:ascii="Times New Roman" w:hAnsi="Times New Roman"/>
          <w:lang w:eastAsia="ar-SA"/>
        </w:rPr>
        <w:t>) wymagana jest minimalna możliwa do przeprowadzenia w modelu teoretycznym liczba kroków użytkownika. Przez krok użytkownika rozumie się każdą operację użytkownika w systemie informatycznym prowadzącą do wzbogacenia systemu informatycznego o dowolną informację wykorzystaną w jego algorytmach</w:t>
      </w:r>
      <w:r w:rsidR="005744E7">
        <w:rPr>
          <w:rFonts w:ascii="Times New Roman" w:hAnsi="Times New Roman"/>
          <w:lang w:eastAsia="ar-SA"/>
        </w:rPr>
        <w:t xml:space="preserve"> </w:t>
      </w:r>
    </w:p>
    <w:p w14:paraId="13A3CB46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świadczenie pomocy technicznej typu „HELP DESK”,</w:t>
      </w:r>
    </w:p>
    <w:p w14:paraId="0DB9E797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świadczenie usług utrzymania i konserwacji dla dostarczonego oprogramowania,</w:t>
      </w:r>
    </w:p>
    <w:p w14:paraId="2FF6574F" w14:textId="73A39E5C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dostarczanie nowych wersji oprogramowania będących wynikiem wprowadzenia koniecznych zmian</w:t>
      </w:r>
      <w:r w:rsidR="00B7671E">
        <w:rPr>
          <w:rFonts w:ascii="Times New Roman" w:eastAsia="Calibri" w:hAnsi="Times New Roman"/>
          <w:color w:val="000000"/>
          <w:lang w:eastAsia="zh-CN"/>
        </w:rPr>
        <w:t xml:space="preserve"> </w:t>
      </w:r>
      <w:r w:rsidRPr="00E23258">
        <w:rPr>
          <w:rFonts w:ascii="Times New Roman" w:eastAsia="Calibri" w:hAnsi="Times New Roman"/>
          <w:color w:val="000000"/>
          <w:lang w:eastAsia="zh-CN"/>
        </w:rPr>
        <w:t>w funkcjonowaniu systemu związanych z wejściem w życie nowych przepisów</w:t>
      </w:r>
      <w:r w:rsidR="00B7671E">
        <w:rPr>
          <w:rFonts w:ascii="Times New Roman" w:eastAsia="Calibri" w:hAnsi="Times New Roman"/>
          <w:color w:val="000000"/>
          <w:lang w:eastAsia="zh-CN"/>
        </w:rPr>
        <w:t xml:space="preserve"> przez okres 12 miesięcy</w:t>
      </w:r>
      <w:r w:rsidRPr="00E23258">
        <w:rPr>
          <w:rFonts w:ascii="Times New Roman" w:eastAsia="Calibri" w:hAnsi="Times New Roman"/>
          <w:color w:val="000000"/>
          <w:lang w:eastAsia="zh-CN"/>
        </w:rPr>
        <w:t>,</w:t>
      </w:r>
    </w:p>
    <w:p w14:paraId="1880482B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przekazywanie w terminach uprzedzających datę wejścia w życie znowelizowanych lub nowych przepisów prawa nowych wersji oprogramowania, włącznie z koniecznym w tym zakresie udzieleniem licencji do nowej wersji systemu,</w:t>
      </w:r>
    </w:p>
    <w:p w14:paraId="0C5D64A1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dostarczanie nowych, ulepszonych wersji oprogramowania lub innych komponentów systemu będących konsekwencją wykonywania w nich zmian wynikłych ze stwierdzonych niedoskonałości technicznych,</w:t>
      </w:r>
    </w:p>
    <w:p w14:paraId="75EA2125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zdalną instalację nowych wersji oprogramowania i aktualizacji bibliotek oprogramowania,</w:t>
      </w:r>
    </w:p>
    <w:p w14:paraId="32066C2C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lastRenderedPageBreak/>
        <w:t>dostarczanie nowych wersji dokumentacji użytkownika oraz dokumentacji technicznej zgodnych co do wersji jak i również zakresu zaimplementowanych i dzi</w:t>
      </w:r>
      <w:r w:rsidR="00A569EB">
        <w:rPr>
          <w:rFonts w:ascii="Times New Roman" w:eastAsia="Calibri" w:hAnsi="Times New Roman"/>
          <w:color w:val="000000"/>
          <w:lang w:eastAsia="zh-CN"/>
        </w:rPr>
        <w:t>ałających funkcji</w:t>
      </w:r>
      <w:r w:rsidR="00A569EB">
        <w:rPr>
          <w:rFonts w:ascii="Times New Roman" w:eastAsia="Calibri" w:hAnsi="Times New Roman"/>
          <w:color w:val="000000"/>
          <w:lang w:eastAsia="zh-CN"/>
        </w:rPr>
        <w:br/>
      </w:r>
      <w:r w:rsidRPr="00E23258">
        <w:rPr>
          <w:rFonts w:ascii="Times New Roman" w:eastAsia="Calibri" w:hAnsi="Times New Roman"/>
          <w:color w:val="000000"/>
          <w:lang w:eastAsia="zh-CN"/>
        </w:rPr>
        <w:t>z wersją dostarczonego oprogramowania aplikacyjnego,</w:t>
      </w:r>
    </w:p>
    <w:p w14:paraId="3B70A4D5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świadczenie telefonicznie usług doradztwa i opieki w zakresie eksploatacji systemu lub na miejscu, jeżeli wymagają tego kwestie techniczne lub organizacyjne, a nie jest to spowodowane brakiem wiedzy lub przeszkolenia pracowników, a brak podjęcia takiego działania przez Wykonawcę może spowodować nieprawidłową eksploatację systemu lub czasowe jej wstrzymanie,</w:t>
      </w:r>
    </w:p>
    <w:p w14:paraId="6B7058D7" w14:textId="77777777"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 xml:space="preserve">podejmowanie czynności związanych z diagnozowaniem problemów oraz usuwaniem przyczyn nieprawidłowego funkcjonowania dostarczonego rozwiązania z wykorzystaniem zdalnego dostępu przez tunelowane połączenie typu VPN lub innego bezpiecznego, zdalnego dostępu do infrastruktury teleinformatycznej. </w:t>
      </w:r>
    </w:p>
    <w:p w14:paraId="2450E077" w14:textId="4F1F329B" w:rsidR="001625AD" w:rsidRDefault="001625AD" w:rsidP="00940610">
      <w:pPr>
        <w:autoSpaceDE w:val="0"/>
        <w:autoSpaceDN w:val="0"/>
        <w:adjustRightInd w:val="0"/>
        <w:ind w:left="360"/>
        <w:jc w:val="both"/>
        <w:rPr>
          <w:lang w:eastAsia="ar-SA"/>
        </w:rPr>
      </w:pPr>
    </w:p>
    <w:p w14:paraId="4DC0088D" w14:textId="77777777" w:rsidR="001625AD" w:rsidRPr="00940610" w:rsidRDefault="00D774AF" w:rsidP="00940610">
      <w:pPr>
        <w:pStyle w:val="Nagwek1"/>
        <w:rPr>
          <w:rFonts w:ascii="Times New Roman" w:hAnsi="Times New Roman"/>
          <w:sz w:val="22"/>
          <w:szCs w:val="22"/>
        </w:rPr>
      </w:pPr>
      <w:bookmarkStart w:id="4" w:name="_Toc494810385"/>
      <w:bookmarkStart w:id="5" w:name="_Toc461389621"/>
      <w:r w:rsidRPr="00940610">
        <w:rPr>
          <w:rFonts w:ascii="Times New Roman" w:hAnsi="Times New Roman"/>
          <w:sz w:val="22"/>
          <w:szCs w:val="22"/>
        </w:rPr>
        <w:t xml:space="preserve">Gwarancja </w:t>
      </w:r>
    </w:p>
    <w:p w14:paraId="5B14E276" w14:textId="77777777" w:rsidR="002C0E74" w:rsidRDefault="00D774AF" w:rsidP="00B767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940610">
        <w:rPr>
          <w:rFonts w:ascii="Times New Roman" w:hAnsi="Times New Roman"/>
          <w:lang w:eastAsia="ar-SA"/>
        </w:rPr>
        <w:t xml:space="preserve">Zgodnie z zapisami §12 </w:t>
      </w:r>
      <w:r w:rsidR="002C0E74">
        <w:rPr>
          <w:rFonts w:ascii="Times New Roman" w:hAnsi="Times New Roman"/>
          <w:lang w:eastAsia="ar-SA"/>
        </w:rPr>
        <w:t xml:space="preserve">projektu </w:t>
      </w:r>
      <w:r w:rsidRPr="00940610">
        <w:rPr>
          <w:rFonts w:ascii="Times New Roman" w:hAnsi="Times New Roman"/>
          <w:lang w:eastAsia="ar-SA"/>
        </w:rPr>
        <w:t>Umowy.</w:t>
      </w:r>
    </w:p>
    <w:p w14:paraId="4B40AF85" w14:textId="77777777" w:rsidR="001625AD" w:rsidRDefault="001625AD" w:rsidP="00940610">
      <w:pPr>
        <w:pStyle w:val="Nagwek1"/>
        <w:rPr>
          <w:rFonts w:ascii="Times New Roman" w:hAnsi="Times New Roman"/>
          <w:sz w:val="22"/>
          <w:szCs w:val="22"/>
        </w:rPr>
      </w:pPr>
    </w:p>
    <w:p w14:paraId="0B9A5551" w14:textId="77777777" w:rsidR="001625AD" w:rsidRPr="00940610" w:rsidRDefault="00F32F91" w:rsidP="00940610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Licencje</w:t>
      </w:r>
    </w:p>
    <w:p w14:paraId="3AC7A94B" w14:textId="77777777" w:rsidR="001625AD" w:rsidRDefault="002C0E74" w:rsidP="0094061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rFonts w:ascii="Times New Roman" w:hAnsi="Times New Roman"/>
          <w:lang w:eastAsia="ar-SA"/>
        </w:rPr>
        <w:t xml:space="preserve">Wykonawca udzieli Zamawiającemu licencji zgodnie z </w:t>
      </w:r>
      <w:r w:rsidR="00F32F91">
        <w:rPr>
          <w:rFonts w:ascii="Times New Roman" w:hAnsi="Times New Roman"/>
          <w:lang w:eastAsia="ar-SA"/>
        </w:rPr>
        <w:t xml:space="preserve">zapisami </w:t>
      </w:r>
      <w:r>
        <w:rPr>
          <w:rFonts w:ascii="Times New Roman" w:hAnsi="Times New Roman"/>
          <w:lang w:eastAsia="ar-SA"/>
        </w:rPr>
        <w:t>§9 projektu Umowy</w:t>
      </w:r>
    </w:p>
    <w:bookmarkEnd w:id="4"/>
    <w:bookmarkEnd w:id="5"/>
    <w:p w14:paraId="0CF44FB0" w14:textId="56CB84D8" w:rsidR="001625AD" w:rsidRDefault="001625AD" w:rsidP="00940610">
      <w:pPr>
        <w:rPr>
          <w:lang w:eastAsia="ar-SA"/>
        </w:rPr>
      </w:pPr>
    </w:p>
    <w:sectPr w:rsidR="001625AD" w:rsidSect="00C42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709" w:left="1417" w:header="397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03610" w16cid:durableId="1EDBE58B"/>
  <w16cid:commentId w16cid:paraId="567EC551" w16cid:durableId="1EDBE58C"/>
  <w16cid:commentId w16cid:paraId="586497B4" w16cid:durableId="1EDBE58D"/>
  <w16cid:commentId w16cid:paraId="261CC815" w16cid:durableId="1EDBE5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A3436" w14:textId="77777777" w:rsidR="00D17DE5" w:rsidRDefault="00D17DE5" w:rsidP="00E23258">
      <w:r>
        <w:separator/>
      </w:r>
    </w:p>
  </w:endnote>
  <w:endnote w:type="continuationSeparator" w:id="0">
    <w:p w14:paraId="3EE7BE7C" w14:textId="77777777" w:rsidR="00D17DE5" w:rsidRDefault="00D17DE5" w:rsidP="00E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89F3E" w14:textId="77777777" w:rsidR="00A07EC5" w:rsidRDefault="00D774AF" w:rsidP="00FE7E9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E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61E7CF" w14:textId="77777777" w:rsidR="00A07EC5" w:rsidRDefault="00A07EC5" w:rsidP="00A07E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593E" w14:textId="77777777" w:rsidR="00A07EC5" w:rsidRDefault="00D774AF" w:rsidP="00FE7E9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E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6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4849A2" w14:textId="77777777" w:rsidR="00FE0F2C" w:rsidRDefault="00940610" w:rsidP="00A07EC5">
    <w:pPr>
      <w:pStyle w:val="Stopka"/>
      <w:ind w:right="360"/>
      <w:jc w:val="center"/>
    </w:pPr>
  </w:p>
  <w:p w14:paraId="5B3DA8D6" w14:textId="77777777" w:rsidR="00FE0F2C" w:rsidRDefault="009406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20B4" w14:textId="77777777" w:rsidR="00C1740C" w:rsidRDefault="00C174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C9F8" w14:textId="77777777" w:rsidR="00D17DE5" w:rsidRDefault="00D17DE5" w:rsidP="00E23258">
      <w:r>
        <w:separator/>
      </w:r>
    </w:p>
  </w:footnote>
  <w:footnote w:type="continuationSeparator" w:id="0">
    <w:p w14:paraId="6CB04F4C" w14:textId="77777777" w:rsidR="00D17DE5" w:rsidRDefault="00D17DE5" w:rsidP="00E2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3B528" w14:textId="77777777" w:rsidR="00C1740C" w:rsidRDefault="00C174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C3E9B" w14:textId="77777777" w:rsidR="00FE0F2C" w:rsidRDefault="00940610" w:rsidP="00D22400">
    <w:pPr>
      <w:jc w:val="center"/>
      <w:rPr>
        <w:b/>
        <w:color w:val="000000"/>
        <w:sz w:val="20"/>
        <w:szCs w:val="20"/>
      </w:rPr>
    </w:pPr>
  </w:p>
  <w:p w14:paraId="696A6AA4" w14:textId="77777777" w:rsidR="00FE0F2C" w:rsidRDefault="002038E7" w:rsidP="00D22400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2C2B2" wp14:editId="5C640466">
          <wp:simplePos x="0" y="0"/>
          <wp:positionH relativeFrom="column">
            <wp:posOffset>-96023</wp:posOffset>
          </wp:positionH>
          <wp:positionV relativeFrom="paragraph">
            <wp:posOffset>17145</wp:posOffset>
          </wp:positionV>
          <wp:extent cx="5838825" cy="6667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8A0778" w14:textId="77777777" w:rsidR="00FE0F2C" w:rsidRDefault="00940610" w:rsidP="008C522D">
    <w:pPr>
      <w:pStyle w:val="Nagwek"/>
    </w:pPr>
  </w:p>
  <w:p w14:paraId="744D6407" w14:textId="77777777" w:rsidR="00FE0F2C" w:rsidRDefault="00940610" w:rsidP="008C522D">
    <w:pPr>
      <w:pStyle w:val="Nagwek"/>
    </w:pPr>
  </w:p>
  <w:p w14:paraId="58034DCA" w14:textId="77777777" w:rsidR="00FE0F2C" w:rsidRPr="0024444C" w:rsidRDefault="00940610" w:rsidP="008C52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B142" w14:textId="77777777" w:rsidR="00C1740C" w:rsidRDefault="00C174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FE3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7D1"/>
    <w:multiLevelType w:val="hybridMultilevel"/>
    <w:tmpl w:val="6E66A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60381"/>
    <w:multiLevelType w:val="hybridMultilevel"/>
    <w:tmpl w:val="F72E3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144AD3E8">
      <w:start w:val="1"/>
      <w:numFmt w:val="lowerLetter"/>
      <w:lvlText w:val="%2."/>
      <w:lvlJc w:val="left"/>
      <w:pPr>
        <w:ind w:left="142" w:hanging="360"/>
      </w:pPr>
      <w:rPr>
        <w:b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62241"/>
    <w:multiLevelType w:val="hybridMultilevel"/>
    <w:tmpl w:val="55BECC68"/>
    <w:lvl w:ilvl="0" w:tplc="573AC1B4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8BF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E9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0ED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C9E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2E7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0CC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C10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6CE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66F29"/>
    <w:multiLevelType w:val="hybridMultilevel"/>
    <w:tmpl w:val="B9AEFA06"/>
    <w:lvl w:ilvl="0" w:tplc="49E89F4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2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46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493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CB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2A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3B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ED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E6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E3C"/>
    <w:multiLevelType w:val="hybridMultilevel"/>
    <w:tmpl w:val="BC189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60"/>
    <w:multiLevelType w:val="hybridMultilevel"/>
    <w:tmpl w:val="8C308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02F2"/>
    <w:multiLevelType w:val="hybridMultilevel"/>
    <w:tmpl w:val="6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138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50697"/>
    <w:multiLevelType w:val="hybridMultilevel"/>
    <w:tmpl w:val="EFE6E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28B"/>
    <w:multiLevelType w:val="hybridMultilevel"/>
    <w:tmpl w:val="BCBCF204"/>
    <w:lvl w:ilvl="0" w:tplc="DD581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B00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363"/>
    <w:multiLevelType w:val="hybridMultilevel"/>
    <w:tmpl w:val="98DCC440"/>
    <w:lvl w:ilvl="0" w:tplc="6E80C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8068A"/>
    <w:multiLevelType w:val="hybridMultilevel"/>
    <w:tmpl w:val="A3488EC6"/>
    <w:lvl w:ilvl="0" w:tplc="0CD0D570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E27AC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090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CDA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7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697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C6E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6C6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A5F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672EA"/>
    <w:multiLevelType w:val="hybridMultilevel"/>
    <w:tmpl w:val="B9AEFA06"/>
    <w:lvl w:ilvl="0" w:tplc="49E89F4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2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46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493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CB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2A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3B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ED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E6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050885"/>
    <w:multiLevelType w:val="hybridMultilevel"/>
    <w:tmpl w:val="30406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E5F52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272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3225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B01"/>
    <w:multiLevelType w:val="hybridMultilevel"/>
    <w:tmpl w:val="3D80E5B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CE0F7D"/>
    <w:multiLevelType w:val="hybridMultilevel"/>
    <w:tmpl w:val="AEE40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F5822"/>
    <w:multiLevelType w:val="hybridMultilevel"/>
    <w:tmpl w:val="862E2CF6"/>
    <w:lvl w:ilvl="0" w:tplc="3C6A401C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24A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A53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815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2D2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23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1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4B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68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BD6031"/>
    <w:multiLevelType w:val="hybridMultilevel"/>
    <w:tmpl w:val="620CEA96"/>
    <w:lvl w:ilvl="0" w:tplc="CBD0762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2A21A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E44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61B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8CD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6E7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C64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C3D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EBC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895BF9"/>
    <w:multiLevelType w:val="hybridMultilevel"/>
    <w:tmpl w:val="98DCC440"/>
    <w:lvl w:ilvl="0" w:tplc="6E80C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F063A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B1A79"/>
    <w:multiLevelType w:val="hybridMultilevel"/>
    <w:tmpl w:val="8A100416"/>
    <w:lvl w:ilvl="0" w:tplc="F35C9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5C9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09C6"/>
    <w:multiLevelType w:val="hybridMultilevel"/>
    <w:tmpl w:val="A6F0D298"/>
    <w:lvl w:ilvl="0" w:tplc="853CC5E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E00A8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41816">
      <w:start w:val="1"/>
      <w:numFmt w:val="lowerRoman"/>
      <w:lvlText w:val="%3."/>
      <w:lvlJc w:val="left"/>
      <w:pPr>
        <w:ind w:left="21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6E68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03B10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EB872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96BC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EED9A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C75AA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010A3D"/>
    <w:multiLevelType w:val="hybridMultilevel"/>
    <w:tmpl w:val="06727FC8"/>
    <w:lvl w:ilvl="0" w:tplc="C914B4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74D2F"/>
    <w:multiLevelType w:val="hybridMultilevel"/>
    <w:tmpl w:val="3F62E6AC"/>
    <w:lvl w:ilvl="0" w:tplc="CEF057F8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46538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C7C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005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89A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EC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04A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8ED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8E8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"/>
  </w:num>
  <w:num w:numId="5">
    <w:abstractNumId w:val="15"/>
  </w:num>
  <w:num w:numId="6">
    <w:abstractNumId w:val="12"/>
  </w:num>
  <w:num w:numId="7">
    <w:abstractNumId w:val="20"/>
  </w:num>
  <w:num w:numId="8">
    <w:abstractNumId w:val="9"/>
  </w:num>
  <w:num w:numId="9">
    <w:abstractNumId w:val="5"/>
  </w:num>
  <w:num w:numId="10">
    <w:abstractNumId w:val="6"/>
  </w:num>
  <w:num w:numId="11">
    <w:abstractNumId w:val="27"/>
  </w:num>
  <w:num w:numId="12">
    <w:abstractNumId w:val="7"/>
  </w:num>
  <w:num w:numId="13">
    <w:abstractNumId w:val="19"/>
  </w:num>
  <w:num w:numId="14">
    <w:abstractNumId w:val="18"/>
  </w:num>
  <w:num w:numId="15">
    <w:abstractNumId w:val="0"/>
  </w:num>
  <w:num w:numId="16">
    <w:abstractNumId w:val="11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6"/>
  </w:num>
  <w:num w:numId="23">
    <w:abstractNumId w:val="22"/>
  </w:num>
  <w:num w:numId="24">
    <w:abstractNumId w:val="4"/>
  </w:num>
  <w:num w:numId="25">
    <w:abstractNumId w:val="8"/>
  </w:num>
  <w:num w:numId="26">
    <w:abstractNumId w:val="17"/>
  </w:num>
  <w:num w:numId="27">
    <w:abstractNumId w:val="21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7"/>
    <w:rsid w:val="00030B5F"/>
    <w:rsid w:val="000F7F4E"/>
    <w:rsid w:val="001625AD"/>
    <w:rsid w:val="002038E7"/>
    <w:rsid w:val="00262FDC"/>
    <w:rsid w:val="002745EA"/>
    <w:rsid w:val="002C0E74"/>
    <w:rsid w:val="002E1112"/>
    <w:rsid w:val="00333B3C"/>
    <w:rsid w:val="003566AD"/>
    <w:rsid w:val="00372A62"/>
    <w:rsid w:val="00390307"/>
    <w:rsid w:val="00464297"/>
    <w:rsid w:val="00473AC0"/>
    <w:rsid w:val="004B2617"/>
    <w:rsid w:val="005744E7"/>
    <w:rsid w:val="00650D36"/>
    <w:rsid w:val="006D0D62"/>
    <w:rsid w:val="00750FF8"/>
    <w:rsid w:val="00753D79"/>
    <w:rsid w:val="00767C8B"/>
    <w:rsid w:val="0082746B"/>
    <w:rsid w:val="00836D05"/>
    <w:rsid w:val="008F217F"/>
    <w:rsid w:val="00900FAB"/>
    <w:rsid w:val="00940610"/>
    <w:rsid w:val="00951317"/>
    <w:rsid w:val="009A2F29"/>
    <w:rsid w:val="009B25F6"/>
    <w:rsid w:val="009C0D4D"/>
    <w:rsid w:val="009D4A56"/>
    <w:rsid w:val="009F0B3A"/>
    <w:rsid w:val="00A04132"/>
    <w:rsid w:val="00A07EC5"/>
    <w:rsid w:val="00A569EB"/>
    <w:rsid w:val="00AD5657"/>
    <w:rsid w:val="00B469CD"/>
    <w:rsid w:val="00B7671E"/>
    <w:rsid w:val="00B92551"/>
    <w:rsid w:val="00BA2E75"/>
    <w:rsid w:val="00C002C5"/>
    <w:rsid w:val="00C10C37"/>
    <w:rsid w:val="00C1740C"/>
    <w:rsid w:val="00C42204"/>
    <w:rsid w:val="00C47FFE"/>
    <w:rsid w:val="00CE34C1"/>
    <w:rsid w:val="00CE6084"/>
    <w:rsid w:val="00D17DE5"/>
    <w:rsid w:val="00D447EB"/>
    <w:rsid w:val="00D61B07"/>
    <w:rsid w:val="00D774AF"/>
    <w:rsid w:val="00E23258"/>
    <w:rsid w:val="00E510CD"/>
    <w:rsid w:val="00E747B9"/>
    <w:rsid w:val="00E766CC"/>
    <w:rsid w:val="00E811F8"/>
    <w:rsid w:val="00E907B5"/>
    <w:rsid w:val="00ED3174"/>
    <w:rsid w:val="00EE77ED"/>
    <w:rsid w:val="00EF5659"/>
    <w:rsid w:val="00F271CF"/>
    <w:rsid w:val="00F32F91"/>
    <w:rsid w:val="00F37EF1"/>
    <w:rsid w:val="00F4050B"/>
    <w:rsid w:val="00F47D46"/>
    <w:rsid w:val="00F96297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785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17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3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31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51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51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31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51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317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951317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Rpogrubienie">
    <w:name w:val="Rpogrubienie"/>
    <w:basedOn w:val="Normalny"/>
    <w:next w:val="Normalny"/>
    <w:link w:val="RpogrubienieZnak"/>
    <w:qFormat/>
    <w:rsid w:val="00951317"/>
    <w:pPr>
      <w:keepNext/>
      <w:spacing w:before="160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RpogrubienieZnak">
    <w:name w:val="Rpogrubienie Znak"/>
    <w:basedOn w:val="Domylnaczcionkaakapitu"/>
    <w:link w:val="Rpogrubienie"/>
    <w:rsid w:val="00951317"/>
    <w:rPr>
      <w:b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A07EC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4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4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2EB0-2BAF-4FA1-B409-128227B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2018-06-25T20:35:00Z</dcterms:created>
  <dcterms:modified xsi:type="dcterms:W3CDTF">2018-06-26T09:16:00Z</dcterms:modified>
</cp:coreProperties>
</file>